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50" w:rsidRDefault="00721050" w:rsidP="00721050">
      <w:pPr>
        <w:rPr>
          <w:rFonts w:asciiTheme="minorHAnsi" w:hAnsiTheme="minorHAnsi" w:cs="Calibri"/>
          <w:b/>
          <w:i/>
          <w:sz w:val="32"/>
          <w:szCs w:val="32"/>
        </w:rPr>
      </w:pPr>
      <w:r>
        <w:rPr>
          <w:rFonts w:asciiTheme="minorHAnsi" w:hAnsiTheme="minorHAnsi" w:cs="Calibri"/>
          <w:b/>
          <w:i/>
          <w:sz w:val="32"/>
          <w:szCs w:val="32"/>
        </w:rPr>
        <w:t xml:space="preserve">Wymagania edukacyjne z historii/ZSS w Zagórniku. </w:t>
      </w:r>
    </w:p>
    <w:p w:rsidR="00721050" w:rsidRDefault="00721050" w:rsidP="00721050">
      <w:pPr>
        <w:rPr>
          <w:rFonts w:asciiTheme="minorHAnsi" w:hAnsiTheme="minorHAnsi" w:cs="Calibri"/>
          <w:b/>
          <w:i/>
          <w:sz w:val="32"/>
          <w:szCs w:val="32"/>
        </w:rPr>
      </w:pPr>
      <w:r>
        <w:rPr>
          <w:rFonts w:asciiTheme="minorHAnsi" w:hAnsiTheme="minorHAnsi" w:cs="Calibri"/>
          <w:b/>
          <w:i/>
          <w:sz w:val="32"/>
          <w:szCs w:val="32"/>
        </w:rPr>
        <w:t>Rok szkolny 2025/2026</w:t>
      </w:r>
    </w:p>
    <w:p w:rsidR="00721050" w:rsidRDefault="004C2FB5" w:rsidP="00721050">
      <w:pPr>
        <w:rPr>
          <w:rFonts w:asciiTheme="minorHAnsi" w:hAnsiTheme="minorHAnsi" w:cs="Calibri"/>
          <w:b/>
          <w:i/>
          <w:sz w:val="32"/>
          <w:szCs w:val="32"/>
        </w:rPr>
      </w:pPr>
      <w:r>
        <w:rPr>
          <w:rFonts w:asciiTheme="minorHAnsi" w:hAnsiTheme="minorHAnsi" w:cs="Calibri"/>
          <w:b/>
          <w:i/>
          <w:sz w:val="32"/>
          <w:szCs w:val="32"/>
        </w:rPr>
        <w:t xml:space="preserve">mgr </w:t>
      </w:r>
      <w:r w:rsidR="00721050">
        <w:rPr>
          <w:rFonts w:asciiTheme="minorHAnsi" w:hAnsiTheme="minorHAnsi" w:cs="Calibri"/>
          <w:b/>
          <w:i/>
          <w:sz w:val="32"/>
          <w:szCs w:val="32"/>
        </w:rPr>
        <w:t xml:space="preserve">Tomasz Osowski, </w:t>
      </w:r>
      <w:r>
        <w:rPr>
          <w:rFonts w:asciiTheme="minorHAnsi" w:hAnsiTheme="minorHAnsi" w:cs="Calibri"/>
          <w:b/>
          <w:i/>
          <w:sz w:val="32"/>
          <w:szCs w:val="32"/>
        </w:rPr>
        <w:t xml:space="preserve">mgr </w:t>
      </w:r>
      <w:bookmarkStart w:id="0" w:name="_GoBack"/>
      <w:bookmarkEnd w:id="0"/>
      <w:r w:rsidR="00721050">
        <w:rPr>
          <w:rFonts w:asciiTheme="minorHAnsi" w:hAnsiTheme="minorHAnsi" w:cs="Calibri"/>
          <w:b/>
          <w:i/>
          <w:sz w:val="32"/>
          <w:szCs w:val="32"/>
        </w:rPr>
        <w:t>Anna Jamróz</w:t>
      </w:r>
    </w:p>
    <w:p w:rsidR="00721050" w:rsidRDefault="00721050" w:rsidP="00721050"/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1417"/>
        <w:gridCol w:w="3686"/>
        <w:gridCol w:w="4536"/>
        <w:gridCol w:w="1417"/>
      </w:tblGrid>
      <w:tr w:rsidR="00721050" w:rsidRPr="0041213C" w:rsidTr="004D41AE">
        <w:tc>
          <w:tcPr>
            <w:tcW w:w="851" w:type="dxa"/>
            <w:vAlign w:val="center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Temat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lekcji</w:t>
            </w:r>
          </w:p>
        </w:tc>
        <w:tc>
          <w:tcPr>
            <w:tcW w:w="1276" w:type="dxa"/>
            <w:vAlign w:val="center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Środki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dydaktyczne</w:t>
            </w:r>
          </w:p>
        </w:tc>
        <w:tc>
          <w:tcPr>
            <w:tcW w:w="1701" w:type="dxa"/>
            <w:vAlign w:val="center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Zagadnienia,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materiał nauczania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Odniesienia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do podstawy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programowej</w:t>
            </w:r>
          </w:p>
        </w:tc>
        <w:tc>
          <w:tcPr>
            <w:tcW w:w="3686" w:type="dxa"/>
            <w:vAlign w:val="center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Wymagania podstawowe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Uczeń:</w:t>
            </w:r>
          </w:p>
        </w:tc>
        <w:tc>
          <w:tcPr>
            <w:tcW w:w="4536" w:type="dxa"/>
            <w:vAlign w:val="center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Wymagania ponadpodstawowe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Uczeń: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Liczba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ar-SA"/>
              </w:rPr>
              <w:t>godzin</w:t>
            </w:r>
          </w:p>
        </w:tc>
      </w:tr>
      <w:tr w:rsidR="00721050" w:rsidRPr="0041213C" w:rsidTr="004D41AE">
        <w:trPr>
          <w:trHeight w:val="349"/>
        </w:trPr>
        <w:tc>
          <w:tcPr>
            <w:tcW w:w="14884" w:type="dxa"/>
            <w:gridSpan w:val="7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I: EUROPAI ŚWIAT W LATACH 1815-1863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Kongres wiedeński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>oczątek kongresu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>to dni Napoleona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 P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>ostanowienia kongresu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 Z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>miany granic w Europie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  <w:r w:rsidRPr="0041213C">
              <w:rPr>
                <w:rFonts w:asciiTheme="minorHAnsi" w:hAnsiTheme="minorHAnsi"/>
                <w:sz w:val="22"/>
                <w:szCs w:val="22"/>
              </w:rPr>
              <w:t xml:space="preserve"> Święte Przymierze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XIX.1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restauracja,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legitymizm, równowaga europejska, abdykacja,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Święte Przymierze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obrad kongresu wiedeńskiego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(1814–1815), bitwy pod Waterloo (18 VI 1815),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podpisania aktu Świętego Przymierza (IX 1815)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Aleksandra I, Klemensa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von Metternicha, Charles’a Talleyranda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 decydujące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kongresie wiedeńskim, państwa Świętego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Przymierza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podaje przyczyny zwołania kongresu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wiedeńskiego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prezentuje główne założenia ładu wiedeńskiego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decyzje kongresu dotyczące ziem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zna datę „stu dni” Napoleona (III–VI 1815)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Franciszka I, Fryderyka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Wilhelma III, Roberta Stewarta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Castlereagha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zmiany terytorialne w Europie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 kongresie wiedeńskim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„stu dni” Napoleona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powstania Świętego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Przymierza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cele i działalność Świętego Przymierza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Napoleona i Francuzów w okresie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jego powrotu do kraju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ocenia zasady, na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których podstawie stworzono ład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wiedeński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działalność Świętego Przymierza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Rewolucja przemysłowa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>
              <w:rPr>
                <w:rFonts w:asciiTheme="minorHAnsi" w:hAnsiTheme="minorHAnsi" w:cs="HelveticaNeueLTPro-Roman"/>
                <w:sz w:val="22"/>
                <w:szCs w:val="22"/>
              </w:rPr>
              <w:t>1. N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arodziny przemysłu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>
              <w:rPr>
                <w:rFonts w:asciiTheme="minorHAnsi" w:hAnsiTheme="minorHAnsi" w:cs="HelveticaNeueLTPro-Roman"/>
                <w:sz w:val="22"/>
                <w:szCs w:val="22"/>
              </w:rPr>
              <w:t>2. R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ewolucja przemysłowa na świecie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>
              <w:rPr>
                <w:rFonts w:asciiTheme="minorHAnsi" w:hAnsiTheme="minorHAnsi" w:cs="HelveticaNeueLTPro-Roman"/>
                <w:sz w:val="22"/>
                <w:szCs w:val="22"/>
              </w:rPr>
              <w:t>3. M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aszyna parowa i jej zastosowanie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>
              <w:rPr>
                <w:rFonts w:asciiTheme="minorHAnsi" w:hAnsiTheme="minorHAnsi" w:cs="HelveticaNeueLTPro-Roman"/>
                <w:sz w:val="22"/>
                <w:szCs w:val="22"/>
              </w:rPr>
              <w:t>4. P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oczątki elektryczności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>
              <w:rPr>
                <w:rFonts w:asciiTheme="minorHAnsi" w:hAnsiTheme="minorHAnsi" w:cs="HelveticaNeueLTPro-Roman"/>
                <w:sz w:val="22"/>
                <w:szCs w:val="22"/>
              </w:rPr>
              <w:t>5. S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kutki rewolucji przemysłowej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251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XIX.2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industrializacja,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rewoluc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ja przemysłowa, maszyna parowa,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manufaktura, fabryka, urbanizacja, kapitaliści,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robotnicy, proletariat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udoskonalenie maszyny parowej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(1763), skonstruowania silnika elektrycznego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(1831)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Jamesa Watta, Samuela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Morse’a, George’a Stephensona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rewolucji przemysłowej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gałęzie przemysłu, które rozwinęły się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dzięki zastosowaniu maszyny parowej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wpływ zastosowania maszyny parowej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rozwój komunikacji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gospodarcze i społeczne skutki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industrializacji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cywilizacja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przemysłowa, metropolia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udoskonalenie telegrafu (1837), pierwszego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telegraficznego połączenia kablowego między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Ameryką i Europą (1866)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cie: Michaela Faradaya, Thomasa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Newcomena, Charlesa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Wheatsone’a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Thomasa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Davenporta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państwa, na terenie których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XIX w. rozwinęły się najważniejsze zagłębia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przemysłowe Europy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okoliczności narodzin przemysłu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sposób działania maszyny parowej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konsekwencje zastosowania maszyny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parowej dla rozwoju przemysłu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wynalezienia elektryczności dla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rozwoju przemysłu i komunikacji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gospodarcze i społeczne skutki rozwoju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przemysłu w XIX w.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 xml:space="preserve">3.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Nowe idee polityczne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Liberalizm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Konserwatyzm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Idee narodowe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Początki ruchu robotniczego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Czartyzm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Socjalizm i komunizm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ideologia,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liberalizm, konserwatyzm, socjalizm,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komunizm, ruch robotniczy, wolna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konkurencja, strajk, związek zawodowy,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fabrykanci, petycja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Adama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Smitha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Edmunda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Burke’a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Karola Marksa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założenia liberalizmu,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konserwatyzmu, socjalizmu i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komunizmu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czartyzm, falanster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ruchu czartystów (1836–1848), wydania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Manifestu komunistycznego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(1848)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Giuseppe Mazziniego, Henriego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 Saint-Simona, Roberta Owena, Fryderyka Engelsa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narodziny ruchu czartystów, ich postulaty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oraz skutki działalności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rolę związków zawodowych w rozwoju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ruchu robotniczego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przedstawia okoliczności narodzin liberalizmu,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konserwatyzmu i ruchu robotniczego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różnice między socjalistami i komunistami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nowych ideologii na życie społeczne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polityczne w pierwszej połowie XIX w.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4.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Przeciwko Świętemu Przymierzu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Walka z ładem wiedeńskim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Niepodległość Grecji 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Początek Wiosny Ludów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Wystąpienia w Niemczech i Austrii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Parlament frankfurcki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Powstanie węgierskie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Wiosna Ludów we Włoszech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Wojna krymska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rewolucja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lipcowa, Wiosna Ludów, rewolucja lutowa,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parlament frankfurcki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rewolucji lipcowej we Francji (1830),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Wiosny Ludów (1848–1849), wybuchu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Wiosny Ludów we Francji (II 1848), stłumienia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węgierskiego (1849)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Mikołaja I, Klemensa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von Metternicha, Franciszka Józefa I, Ludwika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Napoleona Bonapartego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państwa, w których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wybuchła Wiosna Ludów; państwa, które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uzyskały niepodległość w pierwszej połowie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i przejawy walki z ładem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wiedeńskim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Wiosny Ludów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skutki Wiosny Ludów we Francji,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Prusach, Austrii, na Węgrzech i w państwach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włoskich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przyczyny i skutki wojny krymskiej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bankiety, dekabryści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antytureckiego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Grecji (1821–1822), uzyskania niepodległości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Grecję (1829), powstania dekabrystów (XII 1825),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uznania niepodległości Belgii (1831), wybuchu Wiosny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Ludów w Prusach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(III 1848), Austrii (III 1848),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Węgrzech (III 1848) i we Włoszech (III 1848),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robotniczego w Paryżu (VI 1848),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zwołania parlamentu frankfurckiego (V 1848),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krymskiej (1853–1856)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Karola X, Ludwika Filipa, Lajosa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Kossutha, Karola Alberta, Aleksandra II, Józefa Bema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państwa, w których w latach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1815–1847 wybuchły rewolucje i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narodowe; państwa zaangażowane w wojnę krymską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cele, przebieg i skutki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dekabrystów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przebieg i skutki walki Greków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 niepodległość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ny, przebieg i skutki rewolucji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lipcowej we Francji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opisuje przebieg Wiosny Ludów we Francji, Prusach,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Austrii, na Węgrzech i w państwach włoskich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rolę parlamentu frankfurckiego w procesie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jednoczenia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Wiosny Ludów dla państw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narodów europejskich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rPr>
          <w:trHeight w:val="490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lastRenderedPageBreak/>
              <w:t>POWTÓRZENIE WIADOMOŚCI I SPRAWDZIAN Z ROZDZIAŁU 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90"/>
        </w:trPr>
        <w:tc>
          <w:tcPr>
            <w:tcW w:w="14884" w:type="dxa"/>
            <w:gridSpan w:val="7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II: ZIEMIE POLSKIE POKONGRESIE WIEDEŃSKIM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 xml:space="preserve">1.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 upadku Księstwa Warszawskiego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Podział ziem polskich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Rzeczpospolita Krakowska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Wielkie Księstwo Poznańskie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Sytuacja gospodarcza w zaborze pruskim – podstawy nowoczesności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Sytuacja gospodarcza w zaborze austriackim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Kultura i oświata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XX.1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uwłaszczenie,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ziemie zabrane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Królestwa Polskiego,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Wielkiego Księstwa Poznańskiego,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Wolnego Miasta Krakowa (1815), reformy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uwłaszczeniowej w Wielkim Księstwie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Poznańskim (1823), zniesienia pańszczyzny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zaborze austriackim (1848)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podział ziem polskich po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kongresie wiedeńskim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ustrój Wielkiego Księstwa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Poznańskiego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ustrój Rzeczypospolitej Krakowskiej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yzuje rozwój gospodarczy zaboru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pruskiego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sytuację gospodarczą w zaborze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austriackim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 protektorat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nadania wolności osobistej chłopom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zaborze pruskim (1807), powołania sejmu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prowincjonalnego w Wielkim Księstwie Poznańskim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(1824), wprowadzenia obowiązku szkolnego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zaborze pruskim (1825), otwarcia Zakładu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Narodowego im. Ossolińskich we Lwowie (1817)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Antoniego Radziwiłła,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Edwarda Raczyńskieg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o, Tytusa Działyńskiego, Józefa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Maksymiliana Ossolińskiego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proces uwłaszczania chłopów w zaborze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pruskim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odgrywała Rzeczpospolita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Krakowska w utrzymaniu polskości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warunki rozwoju polskiej kultury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oświaty w zaborze pruskim i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sytuacje gospodarczą ziem polskich pod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zaborami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reformy uwłaszczeniowej w zaborze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pruskim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ocenia politykę władz zaborczych wobec Polaków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zaborze pruskim i austriackim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2.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 Królestwie Polskim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Konstytucja Królestwa Polskiego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Namiestnik i wielki książę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Gospodarka Królestwa Polskiego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Kultura i edukacja w Królestwie Polskim i na ziemiach zabranych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Opozycja legalna w Królestwie Polskim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Tajne spiski i organizacje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kaliszanie,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konspiracja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nadania konstytucji Królestwu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Polskiemu (1815), objęcia władzy przez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Mikołaja I (1825), zawiązania Sprzysiężenia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Podchorążych (1828)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Aleksandra I, wielkiego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księcia Kons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tantego, Mikołaja I, Franciszka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Ksawerego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ruckiego-Lubeckiego</w:t>
            </w:r>
            <w:proofErr w:type="spellEnd"/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, Stanisława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Staszica, Adama Mickiewicza, Piotra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Wysockiego, Waleriana Łukasińskiego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zasięg 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ustrój 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organy władzy określone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konstytucji 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rozwój kultury i edukacji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wymienia przykłady organizacji spiskowych i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ichcele</w:t>
            </w:r>
            <w:proofErr w:type="spellEnd"/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założenia Banku Polskiego (1828),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otwarcia uniwersytetu w Warszawie (1816),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wprowadzenia cenzury w Królestwie Polskim (1819),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działalności Towarzystwa Filomatów (1817–1823),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wystąpienia kaliszan (1820), powstania Towarzystwa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Kredytowego Ziemskiego (1825)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Zajączka, Juliana Ursyna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Niemcewicza, Adama Jerzego Czartoryskiego,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Wincentego i Bonawentury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Niemojowskich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Kostki Potockiego, Tadeusza Czackiego,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Tomasza Zana, Ignacego Prądzyńskiego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najważniejsze okręgi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przemysłowe w Królestwie Polskim, Kanał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Augustowski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życiu Królestwa 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odgrywał wielki książę Konstanty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wady i zalety ustroju 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reformy gospodarcze Franciszka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Ksawerego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Druckiego-Lubeckiego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sytuację na wsi w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rozwój przemysłu w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działalność kulturalno-oświatową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Polaków na ziemiach zabranych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przedstawia okoliczności powstania opozycji legalnej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cele jej działalności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okoliczności powstania organizacji spiskowych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różnice pomiędzy opozycją legalną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nielegalną w Królestwie Polskim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rozwój gospodarczy Królestwa 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stosunek władz carskich do opozycji legalnej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nielegalnej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3. Powstanie listopadowe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Wybuch powstania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Od negocjacji do detronizacji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Wojna polsko-rosyjska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Wodzowie powstania listopadowego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Walki poza Królestwem</w:t>
            </w:r>
          </w:p>
          <w:p w:rsidR="00721050" w:rsidRPr="0041213C" w:rsidRDefault="00721050" w:rsidP="004D41AE">
            <w:pPr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noc listopadowa,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detronizacja, dyktator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powstania listopadowego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(29/30 XI 1830), detronizacji Mikołaja 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zerwania unii z Rosją (25 I 1831), wojny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polsko-rosyjskiej (II–X 1831), bitwy pod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Olszynką Grochowską (II 1831), bitwy pod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Ostrołęką (V 1831), bitwy o Warszawę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(6–7 IX 1831)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wielkiego księcia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Konstantego, Piotra Wysockiego, Józefa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Chłopickiego,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miejsca najważniejszych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bitew powstania 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powstania 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wyjaśnia, jakie znaczenie dla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listopadowego miała detronizacja cara Mikołaja 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przyczyny klęski powstania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listopadowego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przejęcia dyktatury przez Józefa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Chłopickiego (XII 1830), bitwy pod Stoczkiem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(II 1831), bitew pod Wawrem i Dębem Wielkim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(III 1831), bitew pod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Iganiami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i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Boremlem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(IV 1831)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Ignacego Prądzyńskiego,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Sowińskiego, Jana Skrzyneckiego, Jana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Krukowieckiego, Józefa Dwernickiego, Emilii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Plater, Michała Radziwiłła, Macieja Rybińskiego,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Antoniego Giełguda, Józefa Bema, Adama Jerzego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Czartoryskiego, Iwana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Dybicza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, Iwana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Paskiewicza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tereny poza Królestwem Polskim,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których toczyły się walki podczas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latach 1830–1831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nocy listopadowej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poczynania władz powstańczych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wybuchu wojny polsko-rosyjskiej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wojny polsko-rosyjskiej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przebieg walk powstańczych poza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Królestwem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ocenia postawy wodzów powstania 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ocenia, czy powstanie listopadowe miało szanse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powodzenia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4.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Wielka Emigracja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Ucieczka przed represjami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Stronnictwa polityczne na emigracji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XX.5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katorga, zsyłka,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emigracja, Wielka Emigracja, emisariusz,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amnestia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Komitetu Narodowego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(1831), Towarzystwa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Demokratycznego Polskiego (1832),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Hôtel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Lambert (1833), Gromad Ludu Polskiego (1835)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Wielkiej Emigracji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Joachima Lelewela,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Adama Jerzego Czartoryskiego, Fryderyka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Chopina, Adama Mickiewicza, Juliusza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Słowackiego, Zygmunta Krasińskiego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główne kraje, do których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emigrowali Polacy po upadku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główne obozy polityczne powstałe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emigracji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formy działalności Polaków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emigracji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Wiktora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Heltmana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Ludwika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Mierosławskiego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trasy, które przemierzali polscy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emigranci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działalność kulturalną Polaków na emigracji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program Komitetu Narodowego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poglądy Gromad Ludu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program Towarzystwa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Demokratycznego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poglądy środowisk konserwatywnych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Hôtel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Lambert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stosunek władz i społeczeństw Europy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polskich emigrantów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działalność Polaków na emigracji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5.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Ziemie polskie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 latach 1831–1848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Represje po upadku powstania listopadowego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Królestwo Polskie w cieniu Cytadeli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Represje w zaborze pruskim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Działalność spiskowa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Powstanie krakowskie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Rabacja galicyjska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XX.3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XX.5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rusyfikacja, Statut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organiczny, kontrybucja, rabacja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wprowadzenia Statutu organicznego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(1832), wybuchu powstania krakowskiego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(21/21 II 1846), wybuchu rabacji galicyjskiej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(II 1846)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Iwana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Paskiewicza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Edwarda Dembowskiego, Jakuba Szeli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tereny objęte powstaniem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krakowskim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represje wobec uczestników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władz rosyjskich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przykłady polityki rusyfikacji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Królestwie Polskim po upadku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i skutki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krakowskiego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przyczyny, przebieg i skutki rabacji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galicyjskiej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 znaczenie terminu: noc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paskiewiczowska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ogłoszenia stanu wojennego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 (1833), powstania Stowarzyszenia Ludu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(1835), likwidacji Rzeczypospolitej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Krakowskiej (XI 1846), wprowadzenia rosyjskiego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kodeksu karnego w Królestwie Polskim (1847)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Szymona Konarskiego, Piotra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Ściegiennego, Edwarda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Flottwella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Karola Libelta,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Henryka Kamieńskiego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tereny objęte rabacją galicyjską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represje popowstaniowe w zaborze pruskim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działalność spiskową na ziemiach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 w latach 30. i 40.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jakich okolicznościach wybuchło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powstanie krakowskie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niepowodzenia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krakowskiego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politykę władz zaborczych wobec Polaków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 upadku powstania listopadowego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chłopów galicyjskich wobec szlachty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powstania krakowskiego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 xml:space="preserve">6. Wiosna Ludów na ziemiach </w:t>
            </w: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polskich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Nastroje w Wielkopolsce na początku 1848 roku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Powstanie w Wielkopolsce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W obronie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polskości na Warmii, Mazurach i Śląsku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Sytuacja w Galicji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Ukraiński ruch narodowy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Za waszą wolność i naszą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porozumienia w Jarosławcu (IV 1848),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wielkopolskiego (IV/V 1848), bitwy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 Miłosławiem (IV 1848), uwłaszczenia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chłopów w Galicji (1848)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identyfikuje postacie: Ludwika Mierosławskiego,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Bema, Adama Mickiewicza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zabory, w których doszło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wystąpień w 1848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przyczyny wybuchu Wiosny Ludów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polskich pod zaborami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Wiosny Ludów w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wiosny Ludów w Wielkim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Księstwie Poznańskim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serwituty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datę powstania Komitetu Narodowego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Poznaniu (III 1848)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Franza von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Stadiona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Wojciecha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Chrzanowskiego, Józefa Wysockiego, Henryka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Dembińskiego, Józefa Lompy, Emanuela Smołki,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Gustawa Gizewiusza, Krzysztofa Mrongowiusza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wkład Polaków w wydarzenia Wiosny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Ludów w Europie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działalność polskich społeczników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Warmii, Mazurach i Śląsku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znaczenie dla polskiego ruchu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niepodległościowego w Galicji miał wzrost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świadomości narodowościowej wśród Rusinów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Wiosny Ludów na ziemiach polskich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decyzję władz austriackich o uwłaszczeniu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7.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Kultura polska doby romantyzmu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Kultura polska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 utracie niepodległości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Narodziny romantyzmu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Polski mesjanizm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Początki badań historii Polski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XX.5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romantyzm,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racjonalizm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Adama Mickiewicza,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Juliusza Słowackiego, Fryderyka Chopina,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Joachima Lelewela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poglądy romantyków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 konflikt romantyków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klasykami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najwybitniejszych polskich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twórców epoki romantyzmu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salon artystyczny,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mesjanizm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zna datę opublikowania ballady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Romantyczność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Adama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Mickiewicza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Andrzeja Towiańskiego, Artura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Grottgera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warunki, w jakich ukształtował się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 romantyzm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czym był polski mesjanizm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sytuację kultury polskiej po utracie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niepodległości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romantyzmu na niepodległościowe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postawy Polaków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rPr>
          <w:trHeight w:val="482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POWTÓRZENIE WIADOMOŚCI I SPRAWDZIAN Z ROZDZIAŁU II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82"/>
        </w:trPr>
        <w:tc>
          <w:tcPr>
            <w:tcW w:w="14884" w:type="dxa"/>
            <w:gridSpan w:val="7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III: EUROPA I ŚWIAT W LATACH 1864–1914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 xml:space="preserve">1.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Stany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Zjednoczone w XIX wieku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 xml:space="preserve">Rozwój Stanów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Zjednoczonych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Podział na Północ i Południe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Przyczyny wojny secesyjnej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Wojna secesyjna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Stany Zjednoczone po wojnie secesyjnej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XXIII.2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secesja, wojna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secesyjna,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Konfederacja, Unia, Północ,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Południe, wojna totalna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wojny secesyjnej (1861–1865),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wydania dekretu o zniesieniu niewolnictwa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(1863)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Abrahama Lincolna,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Roberta Lee, Ulyssesa Granta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sytuację gospodarczą, społeczną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polityczną Północy i Południa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i skutki wojny secesyjnej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wojny secesyjnej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społeczne, polityczne i gospodarcze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skutki wojny secesyjnej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abolicjonizm,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demokraci, republikanie, taktyka spalonej ziemi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wprowadzenia zakazu przywozu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niewolników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do Stanów Zjednoczonych (1808),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wyboru A. Lincolna na prezydenta USA (1860),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secesji Karoliny Południowej (1860),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Skonfederowanych Stanów Ameryki (1861), ataku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na Fort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Sumter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(IV 1861), bitwy pod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Gettysburgiem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(VII 1863), kapitulacji wojsk Konfederacji (VI 1865)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etapy rozwoju terytorialnego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Stanów Zjednoczonych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i skutki rozwoju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terytorialnego Stanów Zjednoczonych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przyczyny podziału Stanów Zjednoczonych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Północ i Południe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sytuację gospodarczą, społeczną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polityczną Północy i Południa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konsekwencje dla dalszego przebiegu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wojny miał dekret o zniesieniu niewolnictwa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zniesienia niewolnictwa w USA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wojny secesyjnej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2.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Zjednoczenie Włoch i Niemiec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Dwie koncepcje zjednoczenia Włoch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Piemont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Zjednoczenie Włoch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Powstanie Królestwa Włoskiego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Polityka Prus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Wojny Prus z Danią i Austrią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Wojna z Francją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Komuna Paryska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Polacy w Komunie Paryskiej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XXIII.1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 znaczenie terminów: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risorgimento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wyprawa „tysiąca czerwonych koszul”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wojny Piemontu z Austrią (1859),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Królestwa Włoch (1861), wojny Prus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Austrii z Danią (1864), wojny Prus z Austrią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(1866), wojny francusko-pruskiej (1870–1871),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ogłoszenia powstania II Rzeszy Niemieckiej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 I 1871), pokoju we Frankfurcie nad Menem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(1871)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Giuseppe Garibaldiego,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Camilla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Cavoura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Ottona von Bismarcka,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Wilhelma I, Napoleona III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etapy jednoczenia Włoch i Niemiec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procesu jednoczenia Włoch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jednoczeniu Włoch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odegrał Giuseppe Garibaldi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etapy jednoczenia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przyczyny, przebieg i skutki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francusko-pruskiej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jednoczeniu Niemiec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odegrał Otto von Bismarck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skutki zjednoczenia Włoch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Niemiec dla Europy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komunardzi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zawarcia sojuszu Piemontu z Francją (1858),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bitew pod Magentą i Solferino (1859), wybuchu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w Królestwie Obojga Sycylii (1860),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objęcia tronu w Prusach przez Wilhelma I (1861),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Czerwonego Krzyża (1863), zajęcia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Wenecji przez Królestwo Włoch (1866), zajęcia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Kościelnego przez Królestwo Włoch (1870),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Niemieckiego Związku Celnego (1834),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bitwy pod Sadową (1866),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powstania Związku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Północnoniemieckiego (1867), powstania Austro-Węgier (1867), b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itwy pod Sedanem (1870), Komuny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Paryskiej (III–V 1871)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Wiktora Emanuela II, Jarosława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Dąbrowskiego, Walerego Wróblewskiego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i opisuje etapy jednoczenia Włoch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koncepcje zjednoczenia Włoch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dlaczego Piemont stał się ośrodkiem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jednoczenia Włoch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koncepcje zjednoczenia Niemiec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okoliczności powstania Czerwonego Krzyża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skutki wojen Prus z Danią i Austrią dl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procesu jednoczenia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okoliczności powstania Austro-Węgier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dostrzega najważniejsze podobieństwa i różnice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procesie zjednoczenia Włoch i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przyczyny, przebieg i skutki Komuny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Paryskiej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rolę Polaków w Komunie Paryskiej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rolę Ottona von Bismarcka w procesie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jednoczenia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metody stosowane przez Ottona von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Bismarcka, Camilla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Cavoura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i Giuseppe Garibaldiego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procesie jednoczenia swoich państw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3. Kolonializm w XIX wieku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Przyczyny ekspansji kolonialnej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Kolonizacja Afryki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Polityka kolonialna w Azji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Skutki polityki kolonialnej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Brytyjskie imperium kolonialne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Konflikty kolonialne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wyjaśnia znaczenie terminów: kolonializm,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faktoria handlowa, Kompania Wschodnioindyjska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datę otwarcia Japonii na świat (1854)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królowej Wiktorii,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CecilaJohna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Rhodesa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posiadłości kolonialne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Wielkiej Brytanii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i skutki ekspansji kolonialnej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państwa, które uczestniczyły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kolonizacji Afryki i Azji</w:t>
            </w:r>
          </w:p>
          <w:p w:rsidR="00721050" w:rsidRPr="00123392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skutki ekspansji kolonialnej dla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 eur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opejskich i mieszkańców terenów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podbitych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powstanie sipajów,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powstanie Mahdiego, wojny opiumowe, powstanie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bokserów, wojny burskie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pierwszej wojny opiumowej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(1839), wybuchu powstania Mahdiego (1881)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tereny świata, które podlegały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kolonizacji pod koniec XIX w.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i porównuje kolonizację Afryk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i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Azji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kolonialne imperium Wielkiej Brytanii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konfliktów kolonialnych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przykłady konfliktów kolonialnych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stosunek państw azjatyckich do ekspansji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europejskiej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politykę mocarstw kolonialnych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podbitych ludów i państw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>4. Rozwój nowych ruchów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>politycznych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W stronę demokracji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Socjaliści i anarchiści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Nowe ideologie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Emancypacja kobiet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Prawa wyborcze dla kobiet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XXIII.4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społeczeństwo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industrialne, demokratyzacja, anarchizm,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nacjonalizm, syjonizm, partia polityczna,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monarchia parlamentarna, system republikański,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socjaliści, socjaldemokracja, komuniści,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chrześcijańska demokracja (chadecja),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emancypantki, sufrażystki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Karola Marksa, papieża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Leona XIII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 proces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demokratyzacji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nowe ruchy polityczne w Europie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drugiej połowy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założenia programowe socjalistów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założenia programowe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chrześcijańskiej demokracji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 nowoczesny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nacjonalizm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postulaty emancypantek i sufrażystek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rewolucja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proletariacka, Międzynarodówka, terror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indywidualny, szowinizm, reformiści/rewizjoniści,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solidaryzm społeczny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I Międzynarodówki (1864),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ustanowienia 1 maja Świętem Pracy (1889),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ogłoszenia encykliki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Rerum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novarum</w:t>
            </w:r>
            <w:proofErr w:type="spellEnd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(1891)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systemy ustrojowe w Europie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różnice między zwolennikami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socjaldemokracji a komunistami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cele i metody działania anarchistów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przedstawia wpływ ideologii nacjonalizmu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kształtowanie się różnych postaw wobec narodu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mniejszości narodowych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kształtowania się syjonizmu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jego założenia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wyjaśnia, jakie okoliczności wpłynęły na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narodzinyruchu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emancypacji kobiet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następstwa procesu demokratyzacji życia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politycznego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metody stosowane przez anarchistów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poglądy emancypantek i sufrażystek oraz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metody i skutki ich działalności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5. Postęp techniczny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>i zmiany cywilizacyjne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Rozwój nauk przyrodniczych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Rozwój medycyny i higieny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Rozwój komunikacji i transportu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Życie codzienne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XXIII.4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teoria ewolucji,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pasteryzacja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ogłoszenia teorii ewolucji przez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K. Darwina (1859), przyznania Nagród Nobla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M. Skłodowskiej-Curie (1903 i 1911),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pierwszego lotu samolotem (1903),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wynalezienia telefonu (1876)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Karola Darwina, Marii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Skłodowskiej-Curie, Ludwika Pasteura,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Orville’a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i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Wilbura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Wright, Thomasa Alvę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Edisona, Alexandra Grahama Bella, Dmitrija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Mendelejewa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założenia teorii ewolucji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odkrycia naukowe, które wpłynęły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rozwój nauk przyrodniczych i medycznych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wynalazki, które miały wpływ na życie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codzienne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omawia kierunki rozwoju medycyny i higieny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rozwój komunikacji i transportu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promieniotwórczość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wynalezienia szczepionki przeciwko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wściekliźnie (1885), odkrycia promieni X (1895),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budowy Kanału Sueskiego (1859–1869), pierwszego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lotu sterowcem (1900), odkrycia bakterii gruźlicy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cholery (1903), budowy Kanału Panamskiego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(1904–1914), opatentowania fonografu (1878),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wynalezienia gramofonu (1887)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Pierre’a Curie, Wilhelma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Roentgena, Guglielma Marconiego, Roberta Kocha,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Johna Dunlopa, Karla Benza, Gottlieba Daimlera,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Rudolfa Diesla, Ferdynanda Zeppelina, Josepha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Swana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czynniki miały wpływ na spadek liczby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zachorowań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i śmiertelności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wyjaśnia, jakie znaczenie miała budowa wielkich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kanałów morskich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 sposób wynalazki zmieniły życie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codzienne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rozpowszechnienia nowych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środków transportu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budowy Kanału Sueskiego i Kanału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Panamskiego dla rozwoju komunikacji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6. Kultura przełomu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>XIX i XX wieku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Literatura i prasa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Sztuka i architektura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Kultura masowa</w:t>
            </w:r>
          </w:p>
          <w:p w:rsidR="00721050" w:rsidRPr="0041213C" w:rsidRDefault="00721050" w:rsidP="004D41A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Upowszechnienie sportu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XXIII.4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realizm, secesja,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pozytywizm, impresjonizm, naturalizm, kultura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masowa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Auguste’a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Comte’a, Lwa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Tołstoja, Charlesa Dickensa, Juliusza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Verne'a</w:t>
            </w:r>
            <w:proofErr w:type="spellEnd"/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Auguste’a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Renoira,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Auguste’a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i Louisa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Lumière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cechy charakterystyczne kultury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masowej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nowe kierunki w sztuce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architekturze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czym charakteryzowało się malarstwo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impresjonistów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idee, które miały rozwijać wśród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młodych pokoleń igrzyska olimpijskie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historyzm, symbolizm,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futuryzm, ekspresjonizm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pierwszej wystawy impresjonistów (1874),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początków kina (1895), pierwszych nowożytnych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igrzysk olimpijskich (1896)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Émile’a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Zoli, Josepha Conrada,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Fiodora Dostojewskiego, Edgara Degasa, Pierre’a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 Coubertina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cele społeczne przyświecały literaturze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sztuce przełomu wieków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upowszechnienia sportu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drugiej połowie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 sposób poglądy pozytywistów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wpłynęły na literaturę i sztukę przełomu XIX i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kina dla rozwoju kultury masowej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zjawisko upowszechnienia sportu w drugiej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połowie XIX w.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rPr>
          <w:trHeight w:val="490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POWTÓRZENIE WIADOMOŚCI I SPRAWDZIAN Z ROZDZIAŁU III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12"/>
        </w:trPr>
        <w:tc>
          <w:tcPr>
            <w:tcW w:w="14884" w:type="dxa"/>
            <w:gridSpan w:val="7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IV: ZIEMIE POLSKIE PO WIOŚNIE LUDÓW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lastRenderedPageBreak/>
              <w:t>1. Ziemie polskie przed powstaniem styczniowym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1. Praca organiczna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2. Zabór austriacki po Wiośnie Ludów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 xml:space="preserve">3. Odwilż </w:t>
            </w:r>
            <w:proofErr w:type="spellStart"/>
            <w:r w:rsidRPr="0041213C">
              <w:rPr>
                <w:rFonts w:asciiTheme="minorHAnsi" w:hAnsiTheme="minorHAnsi"/>
                <w:sz w:val="22"/>
                <w:szCs w:val="22"/>
              </w:rPr>
              <w:t>posewastopolska</w:t>
            </w:r>
            <w:proofErr w:type="spellEnd"/>
          </w:p>
          <w:p w:rsidR="00721050" w:rsidRPr="0041213C" w:rsidRDefault="00721050" w:rsidP="004D41AE">
            <w:pPr>
              <w:ind w:left="32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4. „Czerwoni” i „biali”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5. Przyczyny powstania styczniowego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6. „Rewolucja moralna” w Królestwie Polskim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praca organiczna,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modernizacja, „czerwoni”, „biali”, autonomia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manifestacji patriotycznych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Królestwie Polskim (1861), mianowania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Aleksandra Wielopolskiego dyrektorem Komisji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Wyznań i Oświecenia Publicznego (1861)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Karola Marcinkowskiego,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Hipolita Cegielskiego, Dezyderego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Chłapowskiego, Aleksandra II, Jarosława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Dąbrowskiego, Aleksandra Wielopolskiego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założenia pracy organicznej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określa przyczyny powstania styczniowego− wymienia przykłady realizacji programu pracy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organicznej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polegała autonomia galicyjska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programy polityczne „białych”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„czerwonych”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Bazar, odwilż (wiosna)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posewastopolska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„rewolucja moralna”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Bazaru (1841), założenia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Towarzystwa Rolniczego (1858), wprowadzenia stanu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wojennego w Królestwie Polskim (1861)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Andrzeja Zamoyskiego,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Leopolda Kronenberga, Agenora Gołuchowskiego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proces polonizacji urzędów w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charakteryzuje odwilż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posewastopolską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cel stawiali sobie organizatorzy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manifestacji patriotycznych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odgrywały manifestacje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patriotyczne w przededniu wybuchu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programy „czerwonych” i „białych”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różnicę w stosunku do powstania zbrojnego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 „czerwonymi” i „białymi”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społeczeństwa polskiego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polityki zaborców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politykę Aleksandra Wielopolskiego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 xml:space="preserve">2.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Powstanie styczniowe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1. Wybuch powstania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Przebieg powstania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Powstańcy styczniowi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Upadek powstania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XXII.1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XXII.2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branka, Komitet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tralny Narodowy, Rząd Narodowy,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kosynierzy, wojna partyzancka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powstania (22 I 1863),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ogłoszenia manifestu Tymczasowego Rządu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Narodowego (22 I 1863), ukazu o uwłaszczeniu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Królestwie Polskim (III 1864), stracenia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Romualda Traugutta (VIII 1864)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Ludwika Mierosławskiego,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Mariana Langiewicza, Romualda Traugutta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reformy Aleksandra Wielopolskiego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i okoliczności wybuchu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styczniowego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przebieg walk powstańczych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i skutki wprowadzenia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dekretu o uwłaszczeniu w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rolę Romualda Traugutta w powstaniu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styczniowym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przyczyny upadku powstania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styczniowego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żuawi śmierci, państwo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podziemne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mianowania Aleksandra Wielopolskiego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naczelnikiem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Rządu Cywilnego (1862), objęcia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dyktatury przez Mariana Langiewicza (III 1863),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aresztowania Romualda Traugutta (IV 1864)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identyfikuje postacie: Teodora Berga, Zygmunta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Sierakowskiego, Józefa Hauke-Bosaka, Stanisława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Brzóski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zasięg działań powstańczych,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tereny objęte działaniami dużych grup powstańczych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cele programowe Tymczasowego Rządu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władz powstańczych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sposób organizacji konspiracyjnego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polskiego w czasie powstania styczniowego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upadku powstania odegrała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kwestia chłopska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stosunek Aleksandra Wielopolskiego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konspiracji niepodległościowej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dyktatorów powstania styczniowego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3.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Represje po powstaniu styczniowym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Represje po upadku powstania styczniowego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Rusyfikacja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Walka z polskim Kościołem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Polacy na zesłaniu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Powstanie zabajkalskie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6. Postawy wobec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rusyfikacji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XXII.4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rusyfikacja, Kraj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Przywiślański, „noc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apuchtinowska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”, lojalizm,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pozytywiści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postać Aleksandra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Apuchtina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bezpośrednie represje wobec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uczestników powstania styczniowego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politykę władz carskich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Królestwa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proces rusyfikacji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postawy Polaków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 wobec rusyfikacji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generał-gubernator,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kibitka, tajne komplety, Uniwersytet Latający,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Towarzystwo Oświaty Narodowej, trójlojalizm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Szkoły Głównej Warszawskiej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(1862), powstania zabajkalskiego (1866)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postać Michaiła Murawjowa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walkę władz carskich z polskim Kościołem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rusyfikację na ziemiach zabranych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rolę i postawy Polaków na zesłaniu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ocenia politykę caratu wobec ludności polskiej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zabranych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Polaków w Królestwie Polskim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wobec rusyfikacji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4. W zaborze pruskim i austriackim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Germanizacja i kulturkampf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Antypolska polityka władz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Walka Polaków z germanizacją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Autonomia galicyjska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Stańczycy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XXIV.1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XXIV.2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germanizacja,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kulturkampf, rugi pruskie, ustawa kagańcowa,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strajk szkolny, autonomia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wprowadzenia języka niemieckiego jako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jedynego języka urzędowego w Wielkopolsce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(1876), rozpoczęcia rugów pruskich (1885),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protestu dzieci we Wrześni (1901), strajku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szkolnego w Wielkopolsce (1906)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Ottona von Bismarcka,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Mieczysława Ledóchowskiego, Michała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Drzymały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germanizacji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polegała polityka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kulturkampfu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przejawy polityki germanizacyjnej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gospodarce i oświacie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postawy Polaków wobec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germanizacji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instytucje autonomiczne w Galicji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wyjaśnia znaczenie terminów: Komisja Kolonizacyjna,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Hakata, stańczycy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Komisji Kolonizacyjnej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(1886), ogłoszenia tzw. noweli osadniczej (1904),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wprowadzenia tzw. ustawy kagańcowej (1908)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Piotra Wawrzyniaka, Marię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Konopnicką,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Agenora Gołuchowskiego, Józefa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Szujskiego, Kazimierza Badeniego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postawę polskiego Kościoła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kulturkampfu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działalność instytucji prowadzących politykę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germanizacji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nadania Galicji autonomii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władze austriackie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życiu Galicji odgrywali stańczycy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Polaków wobec polityki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germanizacyjnej władz pruskich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autonomii galicyjskiej dla rozwoju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życia narodowego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poglądy stańczyków na problem polskich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powstań narodowych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t>5. Rozwój gospo</w:t>
            </w: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darczy ziem polskich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 xml:space="preserve">– karta pracy </w:t>
            </w: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1. Przemiany gospodarcze ziem zaboru rosyjskiego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2. Rozwój zaboru pruskiego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Gospodarka Galicji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Łódź wielkoprzemysłowa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Przemiany społeczne na ziemiach 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Asymilacja Żydów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Przemiany cywilizacyjne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 ziemiach 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XXIV.2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spółdzielnie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oszczędnościowo-pożyczkowe, asymilacja,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emigracja zarobkowa, burżuazja, inteligencja,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ziemiaństwo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zniesienia granicy celnej z Rosją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(1851), uwłaszczenia chłopów w zaborze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rosyjskim (1864)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Hipolita Cegielskiego,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Ignacego Łukasiewicza, Franciszka Stefczyka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przyczyny i wskazuje kierunki emigracji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zarobkowej Polaków pod koniec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okręgi przemysłowe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Królestwie Polskim i na ziemiach zabranych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okręgi przemysłowe w Królestwie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Polskim i na ziemiach zabranych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rozwój przedsiębiorczości Polaków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zaborze pruskim i wymienia jej przykłady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rozwój gospodarczy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grupy społeczne, które wykształciły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się w społeczeństwie polskim w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przykłady przemian cywilizacyjnych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polskich w XIX w.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haskala, serwituty,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famuły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zakończenia budowy kolei warszawsko-wiedeńskiej (1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848), pierwszego lotu samolotem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polskich (1910)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uwarunkowania rozwoju przemysłu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rozwój przemysłu i rolnictwa w zaborze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pruskim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rozwój Łodzi jako miasta przemysłowego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rozwój spółdzielczości w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rozwój gospodarczy ziem polskich trzech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zaborów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przemiany społeczne na ziemiach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 proces asymilacji Żydów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jakie były jego skutki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Polaków wobec różnych problemów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związanych z rozwojem gospodarczym ziem polskich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 zaborami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 xml:space="preserve">6. Nowe ruchy polityczne na </w:t>
            </w: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ziemiach polskich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1. Ruch socjalistyczny na ziemiach 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2. Ruch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narodowy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Rozwój ruchu ludowego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XXIV.4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solidaryzm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narodowy, internacjonalizm, endecja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Wielkiego Proletariatu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(1882), Polskiej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Partii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 xml:space="preserve">Socjalistycznej (1892),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Stronnictwa Narodowo-Demokratycznego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(1897), Polskiej Partii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Socjaldemokratycznej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Galicji i Śląska (1897), Polskiego Stronnictwa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Ludowego (1903)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Ludwika Waryńskiego,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Róży Luksemburg, Józefa Piłsudskiego, Romana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Dmowskiego, Wincentego Witosa, Ignacego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Daszyńskiego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partie należące do ruchu narodowego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socjalistycznego i ludowego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cele ruchu robotniczego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nurt niepodległościowy polskich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socjalistów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założenia programowe narodowców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program ruchu ludowego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założenia programowe Polskiej Partii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Socjalistycznej, Polskiego Stronnictwa Ludowego,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Stronnictwa Narodowo-Demokratycznego,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program brukselski,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program paryski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Socjaldemokracji Królestwa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(1893), Socjaldemokracji Królestwa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Polskiego i Litwy (1900), Ligi Narodowej (1893),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Stronnictwa Ludowego (1895)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Bolesława Limanowskiego,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Wojciechowskiego, Juliana Marchlewskiego,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Stojałowskiego, Franciszka Stefczyka, Marii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Bolesława Wysłouchów,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narodzin ruchu robotniczego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polskich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uje program nurtu rewolucyjnego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polskim ruchu socjalistycznym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założenia programowe PPS i SDKPiL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dlaczego polski ruch ludowy powstał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rozwinął się w Galicji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miała działalność partii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politycznych na postawy Polaków pod zaborami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skalę realizacji haseł polskich partii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politycznych w XIX i na początku XX w.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7. Organizacje niepodległośc</w:t>
            </w: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iowe na początku XX wieku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1. Rewolucja 1905 roku na ziemiach 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2. Powstanie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łódzkie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Działalność polskich partii politycznych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Skutki rewolucji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Działania organizacji Bojowej PPS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Orientacje polityczne Polaków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 początku XX wieku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Organizacje niepodległościowe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XXIV.5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XXIV.6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krwawa niedziela,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strajk powszechny, orientacja prorosyjska,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orientacja proaustriacka, Organizacja Bojowa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PPS, organizacja paramilitarna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krwawej niedzieli (22 I 1905), rewolucji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1905–1907, powstania Związku Walki Czynnej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(1908)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Piłsudskiego, Józefa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Mireckiego, Romana Dmowskiego, Kazimierza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Sosnkowskiego, Władysława Sikorskiego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rewolucji 1905–1907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Rosji i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przebieg rewolucji 1905–1907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Królestwie Polskim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skutki rewolucji 1905–1907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ziemiach polskich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orientację proaustriacką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prorosyjską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działania Organizacji Bojowej PPS</w:t>
            </w:r>
          </w:p>
          <w:p w:rsidR="00721050" w:rsidRPr="00633059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polski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e organizacje niepodległościowe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działające pod zaborami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Duma Państwowa,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Macierz Szkolna, strajk szkolny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utworzenia Polskiego Towarzystwa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Gimnastycznego „Sokół” (1867), wybuchu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łódzkiego (I–VI 1905), podziału na PPS-Frakcję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Rewolucyjną i PPS-Lewicę (1906), powstania Komisji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Tymczasowej Skonfederowanych Stronnictw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Niepodległościowych (1912)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ośrodki wystąpień robotniczych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czasie rewolucji 1905–1907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powstania łódzkiego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działalność polskich partii politycznych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czasie rewolucji 1905–1907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ukształtowania się orientacji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politycznych Polaków na początku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założenia programowe zwolenników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 stronnictw niepodległościowych do 1914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stosunek polskich partii politycznych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rewolucji 1905–1907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postawy Polaków w przededniu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nadciągającego konfliktu międzynarodowego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Bd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Bd"/>
                <w:sz w:val="22"/>
                <w:szCs w:val="22"/>
              </w:rPr>
              <w:lastRenderedPageBreak/>
              <w:t>8. Kultura polska na przełomie XIX i XX wieku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Kultura narodowa Polaków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Polski pozytywizm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Rola historii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Malarstwo historyczne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Kultura Młodej Polski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6. Początki kultury masowej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Sztuka polska przełomu XIX i XX w.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Humanst521EU-Normal" w:eastAsiaTheme="minorHAnsi" w:hAnsi="Humanst521EU-Normal" w:cs="Humanst521EU-Normal"/>
                <w:sz w:val="17"/>
                <w:szCs w:val="17"/>
                <w:lang w:eastAsia="en-US" w:bidi="ar-SA"/>
              </w:rPr>
              <w:lastRenderedPageBreak/>
              <w:t>XXIV.3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pozytywizm,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pozytywizm warszawski, praca organiczna,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praca u podstaw, Młoda Polska, modernizm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Henryka Sienkiewicza,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Bolesława Prusa, Elizy Orzeszkowej, Władysława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Reymonta, 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na Matejkę, Marię Konopnickiej,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Ignacego Kraszewskiego, Artura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Grottgera,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Juliusza i Wojciecha Kossaków,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Wyspiańskiego, Stefana Żeromskiego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dlaczego Galicja stała się centrum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polskiej nauki i kultury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hasła pozytywistów warszawskich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realizację haseł pracy u podstaw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podaje przykłady literatury i malarstwa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tworzonego ku pokrzepieniu serc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polegała literatura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malarstwo tworzone ku pokrzepieniu serc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cechy kultury masowej na ziemiach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 przełomu XIX i XX w.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kulturę Młodej Polski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literatura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postyczniowa, neoromantyzm, cyganeria, skauting,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ogródki jordanowskie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otwarcia Polskiej Akademii Umiejętności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(1873), powołania Towarzystwa Oświaty Ludowej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(1872), utworzenia Polskiej Macierzy Szkolnej (1906)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 Aleksandra Świętochowskiego,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Stanisława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Przybyszewskiego, Jana Kasprowicza,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Wojciecha Gersona, Artura Górskiego, Kazimierza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Prószyńskiego, Henryka Jordana, Andrzeja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Małkowskiego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przemiany światopoglądowe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miała klęska powstania styczniowego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wpływ poglądów pozytywistycznych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rozwój literatury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miało popularyzowanie historii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wśród Polaków pod zaborami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sztukę polską przełomu XIX i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skuteczność tworzenia literatury i malarstwa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 pokrzepieniu serc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rPr>
          <w:trHeight w:val="486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lastRenderedPageBreak/>
              <w:t>POWTÓRZENIE WIADOMOŚCI I SPRAWDZIAN Z ROZDZIAŁU IV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62"/>
        </w:trPr>
        <w:tc>
          <w:tcPr>
            <w:tcW w:w="14884" w:type="dxa"/>
            <w:gridSpan w:val="7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V: I WOJNA ŚWIATOWA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Świat na drodze ku wojnie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Nowe mocarstwa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Konflikty między europejskimi mocarstwami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Konflikty kolonialne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Wyścig zbrojeń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Rywalizacja na morzach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6. Wojna rosyjsko-japońska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Konflikty na Bałkanach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XXV.1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trójprzymierze/państwa centralne, trójporozumienie/ententa,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aneksja, pacyfizm, kocioł bałkański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zawarcia trójprzymierza (1882),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wojny rosyjsko-japońskiej (1904–1905),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trójporozumienia (1907), I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bałkańskiej (1912), II wojny bałkańskiej (1913)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 należące do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trójprzymierza i trójporozumienia, państwa,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które w wyniku wojen bałkańskich zdobyły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największe tereny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cele trójprzymierza i trójporozumienia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polegał wyścig zbrojeń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przyczyny narastania konfliktów między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europejskimi mocarstwami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przejawy rywalizacji mocarstw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morzach i oceanach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 doszło do wybuchu wojny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rosyjsko-japońskiej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i skutki wojen bał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wojny rosyjsko-tureckiej (1877–1878),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kongresu berlińskiego (1878), podpisania układu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rosyjsko-francuskiego (1892), podpisania porozumienia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francusko-brytyjskiego (1904), podpisania umowy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rosyjsko-brytyjskiej (1907), bitwy pod Cuszimą (1905),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aneksji Bośni i Hercegowiny przez Austro-Węgry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(1908)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ład światowy miało powstanie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nowych mocarstw w drugiej połowie XIX i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początku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wpływ konfliktów kolonialnych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sytuację w Europie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opisuje okoliczności powstania trójprzymierza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trójporozumienia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wojny rosyjsko-japońskiej i jej skutki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sytuację na Bałkanach w drugiej połowie XIX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konfliktów kolonialnych na sytuację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Europie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konfliktów bałkańskich na zaostrzenie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sytuacji międzynarodowej w Europie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2. Na frontach I wojny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Wybuch I wojny światowej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Wojna na morzach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Walki na zachodzie Europy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Walki na Bałkanach i we Włoszech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Wojna pozycyjna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Koniec Wielkiej Wojny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6. Kapitulacja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Niemiec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XXV.2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XXV.3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ultimatum,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Wielka Wojna, wojna błyskawiczna, wojna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pozycyjna, front, nieograniczona wojna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podwodna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zamachu w Sarajewie (28 VI 1914),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wojny światowej (1914–1918), przyłączenia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się Włoch do ententy (1915), ogłoszenia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nieograniczonej wojny podwodnej (1917),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bitwy nad Marną (IX 1914), bitwy pod Verdun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(1916), bitwy pod Ypres (1915), bitwy nad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Sommą (1916), podpisania traktatu brzeskiego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(3 III 1918), podpisania kapitulacji przez Niemcy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Compiègne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(11 XI 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wskazuje na mapie państwa europejskie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walczące w Wielkiej Wojnie po stronie ententy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państw centralnych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wybuchu Wielkiej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cechy charakterystyczne prowadzenia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przebiegu działań wojennych w czasie I wojny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przebieg wojny miało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wprowadzenie nowych rodzajów broni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walk na froncie zachodnim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przyczyny klęski państw centr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U-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Boot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wypowiedzenia wojny Serbii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Austro-Węgry (28 VII 1914), ataku Niemiec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Belgię i Francję (VIII 1914), przyłączenia się Japonii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ententy (19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14), przyłączenia się Turcji do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 centralnych (1914), bitwy o Gallipoli (1915),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zatopienia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Lusitanii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(1915), przyłączenia się Bułgarii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państw centralnych (1915), bitwy jutlandzkiej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(1916), wypowiedzenia wojny Niemcom przez Stany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Zjednoczone (IV 1917), przyłączenia się Grecji do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ententy (1917), buntu marynarzy w Kilonii (XI 1918),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kapitulacji Austro-Węgier (XI 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identyfikuje postacie: Franciszka Ferdynanda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Habsburga, Karola I Habsburga, Wilhelma II, Paula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von Hindenburga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proces kształtowania się bloku państw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centralnych i państw ententy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wojny na morzach i oceanach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przebieg walk na Bałkanach i we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Włoszech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kapitulacji państw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centralnych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losy wojny miała sytuacja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wewnętrzna w Niemczech i Austro-Węgrzech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ogłoszenia przez Niemcy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nieograniczonej wojny podwodnej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zastosowania przez Niemcy gazów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bojowych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3. I wojna światowa na ziemiach polskich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Walki na froncie wschodnim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Zniszczenia wojenne na ziemiach polskich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U boku państw centralnych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Formacje polskie u boku Rosji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5. Wojsko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polskie we Francji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XXVI.3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Legiony Polskie,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kryzys przysięgowy, Legion Puławski, Błękitna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Armia, Polska Organizacja Wojskowa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sformowania Legionów Polskich (1914),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Polskiej Organizacji Wojskowej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(1914), bitwy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pod Gorlicami (1915), bitwy pod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Rokitną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(1915), bitwy pod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Kostiuchnówką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(1916), kryzysu przysięgowego (VII 1917)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Piłsudskiego,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Romana Dmowskiego,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Ignacego Jana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Paderewskiego, Józefa Hallera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rejony walk Legionów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okoliczności, w jakich powstały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Legiony Polskie i wskazuje cele ich działalności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 zaborcy w czasie I wojny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światowej traktowali ziemie Kongresówki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udział polskich formacji zbrojnych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 boku państw centralnych i u boku ententy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znaczenie dla sprawy polskiej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miała działalność Polskiej Organizacji Wojskowej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wojna manewrowa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zna daty: bitwy pod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Tannenbergiem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(VIII 1914),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wkroczenia Kompanii Kadrowej do Królestwa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(6 VIII 1914), powstania Komitetu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Narodowego Polski w Warszawie (1914),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Naczelnego Komitetu Narodowego (1914),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Legionu Puławskiego (1914),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Komitetu Narodowego Polski w Lozannie (1917),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bitwy pod Kaniowem (1918)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podział ziem polskich w 1915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opisuje przebieg działań wojennych na froncie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wschodnim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taktykę prowadzenia działań na froncie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wschodnim i zachodnim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genezę i organizacje Legionów Pols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utworzenia wojska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polskiego we Francji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sposób traktowania ziem polskich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zaborców w czasie I wojny 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wkład Legionów Polskich w odzyskanie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niepodległości przez Polaków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 Rewolucje w Rosji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Rewolucja lutowa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Okres dwuwładzy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Rosyjskie stronnictwa polityczne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Przewrót bolszewicki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Wojna domowa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Armia Czerwona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Rosja po rewolucji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XXV.5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rewolucja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lutowa, rewolucja październikowa, dwuwładza,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bolszewicy, tezy kwietniowe, Rada Komisarzy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Ludowych, Armia Czerwona, łagry, dyktatura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proletariatu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rewolucji lutowej (III 1917),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wybuchu rewolucji październikowej (XI 1917),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wojny domowej w Rosji (1919–1922),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powstania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(XII 1922)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Mikołaja II, Włodzimierza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Lenina, Lwa Trockiego, Feliksa Dzierżyńskiego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wskazuje na mapie miejsce wybuchu rewolucji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lutowej oraz ośrodki, które zapoczątkowały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rewolucję październikową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przyczyny i skutki rewolucji lutowej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październikowej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wybuchu rewolucji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październikowej i omawia jej przebieg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sytuację w Rosji po rewolucji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październikowej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Rząd Tymczasowy,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mienszewicy, eserowcy, kadeci, biała gwardia, Czeka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obalenia caratu przez Rząd Tymczasowy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(15 III 1917), ogłoszenia tez kwietniowych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Lenina (IV 1917), powstania Rady Komisarzy Ludowych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(XI 1917), ogłoszenia konstytucji (VII 1918),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zamordowania rodziny carskiej (VII 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 Grigorija Rasputina, Aleksandra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Kiereńskiego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sytuację wewnętrzną w Rosji w czasie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wojny 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rewolucji lutowej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okres dwuwładzy w Rosji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rosyjskie stronnictwa polityczne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przedstawia ich założenia programowe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określa przyczyny, omawia przebieg i skutki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domowej w Rosji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losy rodziny carskiej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przewrotu bolszewickiego dla Rosji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Europy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5. Sprawa polska w czasie I wojny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Państwa zaborcze a sprawa polska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Akt 5 listopada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Sprawa polska w polityce ententy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Polacy na konferencji paryskiej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92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XXVI.1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XXVI.2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Akt 5 listopada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(manifest dwóch cesarzy), Rada Regencyjna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wydania manifestu dwóch cesarzy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(5 XI 1916), programu pokojowego prezydenta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Wilsona (8 I 1918), podpisania traktatu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wersalskiego (28 VI 1919)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Romana Dmowskiego,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Ignacego Jana Paderewskiego, Władysława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Grabskiego, Thomasa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Woodrowa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Wilsona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postanowienia Aktu 5 listopada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stosunek państw centralnych do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sprawy polskiej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sprawę polską w polityce ententy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postanowienia konferencji wersalskiej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sprawie polskiej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terminu: linia Curzona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ogłoszenia odezwy Mikołaja Romanowa do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Polaków (VIII 1914), odezwy cara Mikołaja II (1916),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Rady Regencyjnej (1917), odezw Rządu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Tymczasowego i bolszewików (1917)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Mikołaja Mikołajewicza, Karla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Kuka, Hansa von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Beselera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Aleksandra Kakowskiego,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Zdzisława Lubomirskiego, Józefa Ostrowskiego,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Georges’a Clemenceau, Davida Lloyda George’a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zależności między sytuacją militarną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 centralnych i ententy podczas I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światowej a ich stosunkiem do sprawy polskiej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udział delegacji polskiej na konferencji paryskiej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ocenia, jakie znaczenie dla Polaków miał Akt 5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listopada i program pokojowy prezydenta Wilsona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rPr>
          <w:trHeight w:val="529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lastRenderedPageBreak/>
              <w:t>POWTÓRZENIE WIADOMOŚCI I SPRAWDZIAN Z ROZDZIAŁU V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37"/>
        </w:trPr>
        <w:tc>
          <w:tcPr>
            <w:tcW w:w="14884" w:type="dxa"/>
            <w:gridSpan w:val="7"/>
          </w:tcPr>
          <w:p w:rsidR="00721050" w:rsidRPr="0041213C" w:rsidRDefault="00721050" w:rsidP="004D41AE">
            <w:pPr>
              <w:jc w:val="center"/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VI: ŚWIAT W OKRESIE MIĘDZYWOJENNYM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Świat po I wojnie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Ład wersalski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Zniszczenia i straty po I wojnie światowej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Nowy układ sił w Europie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Liga Narodów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Wielki kryzys gospodarczy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Wielka Czwórka,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Liga Narodów, ład wersalski, demilitaryzacja,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wielki kryzys, czarny czwartek,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New Deal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obrad konferencji paryskiej (XI 1918–VI 1919), podpisania traktatu wersalskiego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(28 VI 1919), powstania Ligi Narodów (1920),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układu w Locarno (1925), czarnego czwartku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(24 X 1929), wprowadzenia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New Deal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(1933)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postać Franklina Delano Roosevelta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 europejskie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decydujące o ładzie wersalskim, państwa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powstałe w wyniku rozpadu Austro-Węgier,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bałtyckie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postanowienia traktatu wersalskiego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zniszczenia i straty po I wojnie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układ sił w powojennej Europie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cel powstania Ligi Narodów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przejawy wielkiego kryzysu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gospodarczego i sposoby radzenia sobie z nim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wolne miasto,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europeizacja, mały traktat wersalski, plebiscyt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podpisania traktatów z Austrią (1919)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Węgrami (1920) oraz traktatu z Turcją (1920),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wstąpienia Niemiec do Ligi Narodów (1926),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wstąpienia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do Ligi Narodów (1934)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postać Kemala Mustafy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zmiany terytorialne wynikające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traktatu wersalskiego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zasady, na jakich opierał się ład wersalski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stanowienia pokojów podpisanych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dawnymi sojusznikami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działalność Ligi Narodów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w podważeniu ładu wersalskiego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odegrał układ w Locarno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przyczyny wielkiego kryzysu gospodarczego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skutki wielkiego kryzysu gospodarczego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skuteczność funkcjonowania ładu wersalskiego</w:t>
            </w:r>
          </w:p>
          <w:p w:rsidR="00721050" w:rsidRPr="00295587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ocenia wpływ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wielkiego kryzysu gospodarczego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sytuację polityczną w Europie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2. Narodziny faszyzmu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Włochy po I wojnie światowe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Rządy faszystów we Włoszech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Ideologia nazistowska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Republika weimarska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Początki nazizmu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Przejęcie władzy przez Hitlera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Zbrodnie nazistów do 1939 roku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8. Faszyzm i autorytaryzm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 innych państwach europejskich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faszyzm,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narodowy socjalizm (nazizm), marsz na Rzym,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„czarne koszule”, pakty laterańskie, narodowy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socjalizm (nazizm), antysemityzm,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führer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obóz koncentracyjny, noc długich noży, ustawy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norymberskie, noc kryształowa, autorytaryzm,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totalitaryzm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marszu na Rzym (1922),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paktów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laterańskich (1929), przejęcia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Adolfa Hitlera funkcji kanclerza (I 1933),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przyjęcia ustaw norymberskich (1935), nocy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kryształowej (1938)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Benita Mussoliniego,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Adolfa Hitlera, Josefa Goebbelsa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Europy państwa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demokratyczne, totalitarne i autorytarne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ideologię faszystowską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ideologię nazistowską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okoliczności przejęcia władzy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Benito Mussoliniego i Adolfa Hitlera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nazistów wobec Żydó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korporacja, pucz,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system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monopartyjny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indoktrynacja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Związków Włoskich Kombatantów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(1919), powstania Narodowej Partii Faszystowskiej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(1921), przejęcia przez Benita Mussoliniego funkcji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premiera (1922), funkcjonowania Republiki Weimarskiej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(1919–1933), puczu monachijskiego (1923), podpalenia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Reichstagu (II 1933), przejęcia pełnej władzy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Niemczech przez Adolfa Hitlera (VIII 1934)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Piusa XI, Alfreda Rosenberga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sytuację Włoch i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 zakończeniu I wojny 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przyczyny popularności faszystów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we Włoszech i nazistów w Niemczech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 sposób naziści kontrolowali życie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obywateli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dlaczego w Europie zyskały popularność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rządy autorytarne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zbrodniczą politykę nazistów do 1939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polityki prowadzonej przez Benita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Mussoliniego i Adolfa Hitlera na życie obywateli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3. ZSRS – imperium komunistyczne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Rozwój terytorialny Rosji Radzieckiej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="HelveticaNeueLTPro-Roman"/>
                <w:sz w:val="22"/>
                <w:szCs w:val="22"/>
              </w:rPr>
              <w:t>ZSRS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 w okresie międzywojennym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Rządy Józefa Stalina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Propagandowy wizerunek Stalina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4. Gospodarka </w:t>
            </w:r>
            <w:r>
              <w:rPr>
                <w:rFonts w:asciiTheme="minorHAnsi" w:hAnsiTheme="minorHAnsi" w:cs="HelveticaNeueLTPro-Roman"/>
                <w:sz w:val="22"/>
                <w:szCs w:val="22"/>
              </w:rPr>
              <w:t>ZSRS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Zbrodnie komunistyczne do 1939 roku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Głód na Ukrainie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7. Relacje </w:t>
            </w:r>
            <w:r>
              <w:rPr>
                <w:rFonts w:asciiTheme="minorHAnsi" w:hAnsiTheme="minorHAnsi" w:cs="HelveticaNeueLTPro-Roman"/>
                <w:sz w:val="22"/>
                <w:szCs w:val="22"/>
              </w:rPr>
              <w:t>ZSRS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–Niemcy do 1939 roku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Nowa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Ekonomiczna Polityka, kolektywizacja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rolnictwa, gospodarka planowa, łagier, NKWD,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kult jednostki, stalinizm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ogłoszenia NEP (1921), układu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 Rapallo (1922), utworzenia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(30 XII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1922), paktu Ribbentrop–Mołotow (23 VIII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1939)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Stalina, Lwa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Trockiego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wyjaśnia, w jaki sposób 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realizowano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kult jednostki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cechy charakterystyczne państwa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stalinowskiego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metody stosowane przez Józefa Stalina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celu umocnienia swoich wpływów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reformy gospodarcze Józefa Stalina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zbrodnie komunistyczne do 1939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omawia relacje między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a Niemcami do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1939 r.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wielka czystka,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komunizm wojenny, sowchoz, kołchoz, Gułag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wielkiej czystki (1936–1938), kolektywizacji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rolnictwa (1928), głodu na Ukrainie (1932–1933),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represji wobec Polaków 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(1937–1938)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Joachima Ribbentropa,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Wiaczesława Mołotowa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największe skupiska łagrów,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obszar głodu w latach 1932–1933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rozwój terytorialny Rosji Radzieckiej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gospodarczą w Rosji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Radzieckiej po zakończeniu I wojny światowej i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ZSRS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okresie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przejęcia władzy przez Stalina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wyjaśnia, dlaczego system komunistyczny 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ZSRS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jest oceniany jako zbrodniczy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politykę Stalina wobec przeciwników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skutki reform gospodarczych wprowadzonych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przez Stalina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zbrodniczą politykę komunistów do 1939 r.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4. Kultura i zmiany społeczne w 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okresie międzywojennym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− zeszyt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1. Społeczne skutki I wojny światowej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Wpływ mass mediów na społeczeństwa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3. Komunikacja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Nowe trendy w architekturze i sztuce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Sztuka filmowa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Zmiany społeczne w dwudziestoleciu międzywojennym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Przemiany w modzie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XXVII.1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mass media,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propaganda, indoktrynacja, produkcja taśmowa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datę przyznania prawa wyborczego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kobietom w Polsce (1918)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identyfikuje postać Charliego Chaplina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społeczne skutki I wojny 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rozwój środków komunikacji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okresie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rodzaje mass mediów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dlaczego sztuka filmowa cieszyła się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coraz większą popularnością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nowe nurty w architekturze i sztuce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modernizm,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funkcjonalizm, dadaizm, surrealizm, futuryzm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pierwszej audycji radiowej (1906),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pierwszego wręczenia Oscarów (1929)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wyjaśnia, jakie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cele przyświecały nowym trendom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architekturze i sztuce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charakteryzuje zmiany społeczne w dwudziestoleciu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i ocenia wpływ mass mediów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społeczeństwo w dwudziestoleciu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mass mediów na rozwój propagandy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państwach totalitarnych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zmiany, jakie zaszły w społeczeństwie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 zakończeniu I wojny światowej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5. Świat na drodze ku II wojnie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Militaryzacja Niemiec i powstanie osi Berlin–Rzym–Tokio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Wojna domowa w Hiszpanii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3. </w:t>
            </w:r>
            <w:proofErr w:type="spellStart"/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Anschluss</w:t>
            </w:r>
            <w:proofErr w:type="spellEnd"/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 Austrii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Układ monachijski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i kolejne zdobycze niemieckie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Zdobycze włoskie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Ekspansja Japonii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XXXI.1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XXXI.2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XXXI.3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remilitaryzacji Nadrenii (1936), wojny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domowej w Hiszpanii (1936–1939), ataku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Japonii na Chiny (1937),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Anschlussu</w:t>
            </w:r>
            <w:proofErr w:type="spellEnd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Austrii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(III 1938), konferencji w Monachium (29–30 IX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1938), zajęcia Zaolzia przez Polskę (X 1938),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aneksji Czech i Moraw przez III Rzeszę (III 1939)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Benita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Mussoliniego,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Adolfa Hitlera, Francisca Franco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remilitaryzacja,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Anschluss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, aneksja, oś Berlin–Rzym–Tokio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(państwa osi),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appeasement,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marionetkowe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państwa europejskie, które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padły ofiarą agresji Niemiec i Włoch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cele, jakie przyświecały państwom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totalitarnym w polityce zagranicznej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i skutki wojny domowej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Hiszpanii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przedstawia przyczyny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Anschlussu</w:t>
            </w:r>
            <w:proofErr w:type="spellEnd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Austrii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postanowienia konferencji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Monachium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skutki decyzji podjętych 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konferencji monachijskiej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kolejne etapy podboju Europy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Adolfa Hitlera do sierpnia 1939 r.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aneksji Mandżurii przez Japonię (1931),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podboju Libii przez Włochy (1932), przywrócenia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powszechnej służby wojskowej w Niemczech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(1935), wojny włosko-abisyńskiej (1935–1936),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zbombardowania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Guerniki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(1937), zajęcia Albanii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Włochy (1939), proklamowania niepodległości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Słowacji (III 1939), zajęcia przez Niemcy Okręgu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Kłajpedy (III 1939),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stacie: </w:t>
            </w:r>
            <w:proofErr w:type="spellStart"/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Neville’a</w:t>
            </w:r>
            <w:proofErr w:type="spellEnd"/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Chamberlaina,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Édouarda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Daladiera, Józefa Tiso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strony walczące ze sobą w hiszpańskiej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wojnie domowej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włoską ekspansję terytorialną do 1939 r.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proces militaryzacji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oliczności zwołania konferencji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Monachium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 xml:space="preserve">− wyjaśnia wpływ polityki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appeasementu</w:t>
            </w:r>
            <w:proofErr w:type="spellEnd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politykę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zagraniczną Niemiec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sytuację w Europie pod koniec lat 30.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przyczyny i skutki ekspansji Japonii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Dalekim Wschodzie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polityków państw zachodnich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konferencji w Monachium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ocenia skutki polityki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appeasementu</w:t>
            </w:r>
            <w:proofErr w:type="spellEnd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dla Europy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rPr>
          <w:trHeight w:val="473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lastRenderedPageBreak/>
              <w:t>POWTÓRZENIE WIADOMOŚCI I SPRAWDZIAN Z ROZDZIAŁU VI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721050" w:rsidRPr="0041213C" w:rsidTr="004D41AE">
        <w:trPr>
          <w:trHeight w:val="423"/>
        </w:trPr>
        <w:tc>
          <w:tcPr>
            <w:tcW w:w="14884" w:type="dxa"/>
            <w:gridSpan w:val="7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t>ROZDZIAŁ VII: POLSKA W OKRESIE MIĘDZYWOJENNYM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Odrodzenie Rzeczypospolitej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Sytuacja międzynarodowa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Pierwsze ośrodki władzy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 ziemiach polskich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Odzyskanie niepodległości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11 listopada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Rząd Jędrzeja Moraczewskiego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XXVIII.1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XXIX.1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Tymczasowy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Naczelnik Państwa, unifikacja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Tymczasowego Rządu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Ludowego Republiki Polskiej (7 XI 1918),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przekazania władzy wojskowej Józefowi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Piłsudskiemu przez Radę Regencyjną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(11 XI 1918), powołania rządu Jędrzeja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Moraczewskiego (18 XI 1918), powołania rządu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Ignacego Jana Paderewskiego (I 1919)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Piłsudskiego,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Romana Dmowskiego,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Ignacego Daszyńskiego,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Jędrzeja Moraczewskiego, Ignacego Jana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Paderewskiego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pierwsze ośrodki władzy na ziemiach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określa zasięg wpływów pierwszych polskich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ośrodków władzy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przejęcia władzy przez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Piłsudskiego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działania pierwszych rządów polskich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 odzyskaniu niepodległości</w:t>
            </w:r>
          </w:p>
          <w:p w:rsidR="00721050" w:rsidRPr="00E00518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dąże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nia władz polskich do uzyskania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Polskę uznania międzynarodowego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powstania Rady Narodowej Księstwa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Cieszyńskiego (19 X 1918), powstania Polskiej Komisji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Likwidacyjnej Galicji i Śląska Cieszyńskiego (28 X 1918),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Naczelnej Rady Ludowej (14 XI 1918),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przekazania władzy cywilnej Józefowi Piłsudskiemu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Radę Regencyjną (14 XI 1918), wydania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dekretu o powołaniu Tymczasowego Naczelnika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(22 XI 1918), powstania Tymczasowego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Komitetu Rządzącego we Lwowie (24 XI 1918)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sytuację międzynarodową jesienią 1918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 sposób sytuacja międzynarodowa,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która zaistniała pod koniec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1918 r., wpłynęła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odzyskanie niepodległości przez Polskę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założenia programowe pierwszych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ośrodków władzy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polityczne starania Polaków w przededniu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odzyskania niepodległości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rolę, jaką odegrał Józef Piłsudski w momencie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odzyskania niepodległości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2. Walka o granicę wschodnią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Koncepcje granicy wschodniej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Konflikt polsko-ukraiński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Orlęta Lwowskie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Wyprawa kijowska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Ofensywa bolszewików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Bitwa warszawska i nadniemieńska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Pokój ryski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8. Polsko-litewskie spory terytorialne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XXVIII.2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XXVIII.3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koncepcja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inkorporacyjna, koncepcja federacyjna, Orlęta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Lwowskie, Rada Obrony Państwa, „cud nad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Wisłą”, „bunt” Żeligowskiego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Bitwy Warszawskiej (15 VIII 1920),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bitwy nadniemeńskiej (22–28 IX 1920), „buntu”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Żeligowskiego (9 X 1920), pokoju w Rydze (18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III 1921)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Romana Dmowskiego,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Piłsudskiego, Wincentego Witosa,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Michaiła Tuchaczewskiego, Lucjana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Żeligowskiego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miejsca bitew stoczonych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Rosjanami w 1920 r., granicę wschodnią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ustaloną w pokoju ryskim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omawia koncepcje polskiej granicy wschodniej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postawy Polaków wobec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zagrożenia niepodległości ze strony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bolszewików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Bitwy Warszawskiej i jej skutki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postanowienia pokoju ryskiego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przedstawia, w jaki sposób Polska przyłączyła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ziemię wileńską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wyjaśnia znaczenie terminu: linia Curzona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zna daty: utworzenia </w:t>
            </w:r>
            <w:proofErr w:type="spellStart"/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achodnioukraińskiej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Republiki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Ludowej (X/XI 1918), polskiej ofensywy wiosennej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(1919), układu z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Symonem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Petlurą (IV 1920), bitwy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pod Zadwórzem (1920), powołania Rady Obrony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(VII 1920), powstania Tymczasowego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Komitetu Rewolucyjnego Polski (VII 1920),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przekazania 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ilna przez bolszewików Litwinom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(VII 1920), bitwy pod Komarowem (31 VIII 1920),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włączenia Litwy Środkowej do Polski (III 1922)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identyfikuje postacie: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Symona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Petlury, Tadeusza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Rozwadowskiego, Władysława Sikorskiego, Siemiona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Budionnego, Feliksa Dzierżyńskiego, Juliana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Marchlewskiego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tereny zajęte przez Armię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Czerwoną do sierpnia 1920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porównuje koncepcję inkorporacyjną i federacyjną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i przebieg konfliktu polsko-ukraińskiego pod koniec 1918 i w 1919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podjęcia przez wojska polskie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wyprawy kijowskiej i jej skutki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przebieg ofensywy bolszewickiej w 1920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przebieg i skutki kontrofensywy polskiej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1920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Polaków wobec ekspansji ukraińskiej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Galicji Wschodniej</w:t>
            </w:r>
          </w:p>
          <w:p w:rsidR="00721050" w:rsidRPr="0041213C" w:rsidRDefault="00721050" w:rsidP="004D4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postanowienia pokoju ryskiego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 Kształtowanie się granicy zachodniej i południowej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Powstanie wielkopolskie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Ustalenie północnej granicy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Zaślubiny z morzem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Wolne Miasto Gdańsk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Pierwsze i drugie powstanie śląskie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Trzecie powstanie śląskie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Konflikt polsko-czechosłowacki</w:t>
            </w:r>
          </w:p>
          <w:p w:rsidR="00721050" w:rsidRPr="0041213C" w:rsidRDefault="00721050" w:rsidP="004D41AE">
            <w:pPr>
              <w:ind w:left="32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XXVIII.2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terminu: plebiscyt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wybuchu powstania wielkopolskiego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(27 XII 1918), plebiscytu na Warmii, Mazurach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Powiślu (11 VII 1920), plebiscytu na Górnym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Śląsku (20 III 1921), trzeciego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śląskiego (V–VII 1921)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Ignacego Jana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Paderewskiego, Wojciecha Korfantego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obszar powstania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wielkopolskiego, obszar Wolnego Miasta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Gdańska, obszary plebiscytowe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wydarzenia, które miały wpływ 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kształt zachodniej granicy państwa polskiego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przebieg i skutki powstania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Wielkopolskiego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przedstawia przyczyny i skutki powstań śląskich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plebiscytów na Warmii,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Mazurach i Powiślu oraz na Górnym Śląsku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znaczenie dla niepodległej Polski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miał dostęp do morza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konwencja górnośląska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przybycia Ignacego Jana Paderewskiego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Poznania (26 XII 1918), pierwszego powstania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śląskiego (VIII 1919), zaślubin Polski z morzem (10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1920), podziału Śląska Cieszyńskiego (VII 1920),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drugiego powstania śląskiego (VIII 1920)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Dowbora-Muśnickiego,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Józefa Hallera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zasięg powstań śląskich, Śląsk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Cieszyński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proces kształtowania się zachodniej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północnej granicy państwa polskiego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zaślubin Polski z morzem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konflikt polsko-czechosłowacki i jego skutki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ocenia postawę Polaków wobec sytuacji politycznej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Wielkopolsce w końcu 1918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przyczyny klęski Polski w plebiscycie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Warmii, Mazurach i Powiślu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Polaków wobec walki o polskość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Śląska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4. Rządy parlamentarne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Trudne początki niepodległości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Pierwsze wybory parlamentarne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Konstytucja z 1921 roku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Scena polityczna II Rzeczypospolitej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Elekcja i śmierć Narutowicza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Rządy parlamentarne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w latach 1919–1926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Kryzys rządów parlamentarnych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XXVIII.1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Naczelnik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Państwa, konstytucja marcowa, system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parlamentarny, czynne i bierne prawo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wyborcze, hiperinflacja, wojna celna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pierwszych wyborów do sejmu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ustawodawczego (I 1919), uchwalenia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konstytucji marcowej (17 III 1921), wyboru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Gabriela Narutowicza na prezydenta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(XII 1922), zabójstwa prezydenta Gabriela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Narutowicza (16 XII 1922)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Piłsudskiego,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Romana Dmowskiego, Gabriela Narutowicza,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Wincentego Witosa, Wojciecha Korfantego,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Wojciechowskiego, Ignacego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Daszyńskiego, Władysława Grabskiego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zadania, jakie stanęły przed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władzami odradzającej się Polski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postanowienia małej konstytucji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rządy parlamentarne w Polsce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latach 1919–1926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postanowienia konstytucji marcowej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terminu: sejm ustawodawczy,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mała konstytucja, partyjniactwo, kontrasygnata,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Zgromadzenie Narodowe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datę wprowadzenia podziału na województwa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(1919), uchwalenia małej konstytucji (20 II 1919)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Romana Rybarskiego, Maurycego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Zamoyskiego, Jana Baudouin de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Courtenaya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pierwszych wyborów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prezydenckich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okoliczności i skutki zamachu na prezydenta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Gabriela Narutowicza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scenę polityczną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przejawy kryzysu rządów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parlamentarnych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wpływ słabości politycznej rządów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parlamentarnych na pozycję międzynarodową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pozycję ustrojową Naczelnika Państwa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rządy parlamentarne w Polsce w latach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1919–1926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5. Zamach majowy i rządy sanacji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Zamach majowy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Walki podczas zamachu majowego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Zmiany konstytucji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Rządy sanacyjne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Represje w stosunku do opozycji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Obóz w Berezie Kartuskiej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Rządy sanacyjne po śmierci Piłsudskiego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8. Polski autorytaryzm na tle europejskim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XXIX.3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piłsudczycy,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zamach majowy, sanacja, dekret, nowela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sierpniowa, obóz sanacyjny, autorytaryzm,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Bezpartyjny Blok Współpracy z Rządem,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Centrolew, wybory brzeskie, proces brzeski,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konstytucja kwietniowa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początku zamachu majowego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(12 V 1926), dymisji rządu i prezydenta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Stanisława Wojciechowskiego (14 V 1926),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powstania BBWR (1928), wyborów brzeskich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(XI 1930), procesu brzeskiego (1932),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uchwalenia konstytucji kwietniowej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(23 IV 1935)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postacie: Józefa Piłsudskiego,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Wincentego Wit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osa, Macieja Rataja, Stanisława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Wojciechowskiego, Ignacego Mościckiego</w:t>
            </w:r>
          </w:p>
          <w:p w:rsidR="00721050" w:rsidRPr="0041213C" w:rsidRDefault="00721050" w:rsidP="004D41AE">
            <w:pP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przyczyny zamachu majowego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przebieg zamachu majowego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opisuje skutki polityczne i ustrojowe zamachu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majowego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rządy sanacyjne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postanowienia konstytucji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kwietniowej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wyjaśnia znaczenie terminów: nowela sierpniowa,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„cuda nad urną”, grupa pułkowników, grupa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zamkowa, Obóz Zjednoczenia Narodowego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powołania rządu „Chjeno-Piasta” (10 V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1926), wyboru Ignacego Mościckiego na prezydenta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 VI 1926), uchwalenia noweli sierpniowej (2 VIII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1926), powstania Centrolewu (1929), Kongresu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Obrony Prawa i Wolności (29 VI 1930), śmierci Józefa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Piłsudskiego (12 V 1935), powstania OZN-u (1937)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Kazimierza Bartla, Walerego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Sławka, Adam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a Koca, Edwarda Rydza-Śmigłego,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Władysława Sikorskiego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politykę sanacji wobec opozycji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rządy sanacyjne po śmierci Józefa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Piłsudskiego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porównuje pozycję prezydenta w konstytucji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marcowej i kwietniowej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pols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ki autorytaryzm na tle przemian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politycznych w Europie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zamach majowy i jego wpływ na losy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 i jej obywateli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metody, jakimi władze sanacyjne walczyły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opozycją polityczną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6. Gospodarka II Rzeczypospolitej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Problemy gospodarcze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odrodzonej Polski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Reforma walutowa Grabskiego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Odbudowa gospodarcza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Reforma rolna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Wielki kryzys gospodarczy w Polsce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Nowe inwestycje przemysłowe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7. Port morski w Gdyni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XXX.3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XXX.2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reforma rolna,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Polska A i Polska B, reforma walutowa,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Centralny Okręg Przemysłowy,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reformy walutowej Władysława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Grabskiego (1924), rozpoczęcia budowy Gdyni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(1921), rozpoczęcia budowy COP-u (1937)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Władysława Grabskiego,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Eugeniusza Kwiatkowskiego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obszar Polski A i Polski B,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obszar COP-u, Gdynię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różnice między Polską A i Polską B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reformy rządu Władysława Grabskiego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budowy portu w Gdyni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jego znaczenie dla polskiej gospodarki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założenia 4-letniego planu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gospodarczego Eugeniusza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Kwiatkowskiego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jego realizację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jaką rolę gospodarczą odgrywał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Centralny Okręg Przemysłowy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terminu: magistrala węglowa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ustawy o reformie rolnej (1920 i 1925),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początku wielkiego kryzysu (1929)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przebieg magistrali węglowej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problemy gospodarcze, z jakimi borykała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się Polska po odzyskaniu niepodległości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sposoby przezwyciężania trudności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gospodarczych przez władze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założenia i realizację reformy rolnej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wielki kryzys gospodarczy w Polsce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działania podjęte w celu modernizacji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gospodarki Polski w dwudziestoleciu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wpływ reform Władysława Grabskiego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 sytuację gospodarczą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znaczenie portu gdyńskiego dla gospodarki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gospodarczą działalność Eugeniusza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Kwiatkowskiego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7. Społeczeństwo odrodzonej Polski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Społeczeństwo II Rzeczypospolitej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Państwo wielu narodów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Struktura społeczna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Podział narodowy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i wyznaniowy kraju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Polityka wobec mniejszości narodowych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6. Rozwój edukacji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XXX.1</w:t>
            </w:r>
          </w:p>
          <w:p w:rsidR="00721050" w:rsidRPr="0041213C" w:rsidRDefault="00721050" w:rsidP="004D41AE">
            <w:pPr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XXX.4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analfabetyzm,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asymilacja narodowa, asymilacja państwowa,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getto ławkowe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datę reformy Janusza Jędrzejewicza (1932)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postać Janusza Jędrzejewicza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strukturę społeczną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strukturę narodowościową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 wyznaniową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na czym miała polegać asymilacja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narodowa i państwowa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 sposób władze odrodzonego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państwa polskiego walczyły z analfabetyzmem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rozwój edukacji w II Rzeczypospolitej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− wyjaśnia znaczenie terminu: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numerus clausus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przeprowadzenia spisów powszechnych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II Rzeczypospolitej (1921 i 1931), zbliżenia się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Ruchu Narodowo-Radykalnego Falanga do Obozu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Zjednoczenia Narodowego (1937)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sytuację społeczną w międzywojennej Polsce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politykę władz II Rzeczypospolitej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wobec Ukraińców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stosunki polsko-żydowskie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przykłady realizacji polityki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asymilacyjnej w latach 30.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położenie mniejszości narodowych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politykę władz II Rzeczypospolitej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mniejszości narodowych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przykłady wyższych uczelni funkcjonujących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II Rzeczypospolitej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8. Osiągnięcia II Rzeczypospolitej</w:t>
            </w:r>
          </w:p>
          <w:p w:rsidR="00721050" w:rsidRPr="0041213C" w:rsidRDefault="00721050" w:rsidP="004D41AE">
            <w:pPr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Osiągnięcia polskich naukowców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Literatura międzywojenna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Technika i transport II Rzeczypospolitej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Polskie kino w okresie międzywojennym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Polski modernizm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6. Malarstwo i architektura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XXX.4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Enigma,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ekspresjonizm, modernizm, funkcjonalizm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otrzymania Literackiej Nagrody Nobla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Władysława Reymonta (1924)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Władysława Reymonta,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Stefana Żeromskiego, Zofię Nałkowską, Marię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Dąbrowską, Witolda Gombrowicza, Brunona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Schulza, Juliana Tuwima, Stanisława Ignacego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Witkiewicza, Eugeniusza 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Bodo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przedstawicieli polskiej literatury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dwudziestoleciu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najważniejsze osiągnięcia kultury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polskiej w dwudziestoleciu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osiągnięcia polskich naukowców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dziedzinie nauk matematycznych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prezentuje osiągnięcia polskiej literatury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okresie dwudziestolecia mię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lwowska szkoła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matematyczna, awangarda, styl narodowy,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katastrofizm, skamandryci, Awangarda Krakowska,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formizm, </w:t>
            </w:r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 xml:space="preserve">art </w:t>
            </w:r>
            <w:proofErr w:type="spellStart"/>
            <w:r w:rsidRPr="0041213C">
              <w:rPr>
                <w:rFonts w:asciiTheme="minorHAnsi" w:eastAsiaTheme="minorHAnsi" w:hAnsiTheme="minorHAnsi" w:cs="Humanst521EU-Italic"/>
                <w:i/>
                <w:iCs/>
                <w:sz w:val="22"/>
                <w:szCs w:val="22"/>
                <w:lang w:eastAsia="en-US" w:bidi="ar-SA"/>
              </w:rPr>
              <w:t>déco</w:t>
            </w:r>
            <w:proofErr w:type="spellEnd"/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powstania PKP (1926), powstania PLL LOT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(1929)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 Franciszka Żwirki, Stanisława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Wigury, Tadeusza Kotarbińskiego, Floriana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Znanieckiego, Stefana Banacha, Hugona Steinhausa,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przedstawicieli nauk matematycznych,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twórców filmu i sztuki w Polsce międzywojennej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architektów tworzących w okresie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 i ich osiągnięcia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nurty w polskiej literaturze oraz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grupy poetyckie, jakie rozwinęły się w okresie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dwudziestolecia międzywojennego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kierunki w sztuce i architekturze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rozwój kinematografii polskiej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dwudziestoleciu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dorobek kultury i nauki polskiej w okresie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międzywojennym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9. II Rzeczpospolita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na arenie międzynarodowej</w:t>
            </w:r>
          </w:p>
          <w:p w:rsidR="00721050" w:rsidRPr="0041213C" w:rsidRDefault="00721050" w:rsidP="004D41AE">
            <w:pPr>
              <w:rPr>
                <w:rFonts w:asciiTheme="minorHAnsi" w:hAnsiTheme="minorHAnsi" w:cs="HelveticaNeueLTPro-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II Rzeczpospolita i jej sąsiedzi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Polska polityka zagraniczna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Układy w Rapallo i Locarno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4. Normalizacja stosunków z </w:t>
            </w:r>
            <w:r>
              <w:rPr>
                <w:rFonts w:asciiTheme="minorHAnsi" w:hAnsiTheme="minorHAnsi" w:cs="HelveticaNeueLTPro-Roman"/>
                <w:sz w:val="22"/>
                <w:szCs w:val="22"/>
              </w:rPr>
              <w:t>ZSRS</w:t>
            </w: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 xml:space="preserve"> i Niemcami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5. Rola II Rzeczypospolitej na arenie międzynarodowej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XXIX.5</w:t>
            </w:r>
          </w:p>
        </w:tc>
        <w:tc>
          <w:tcPr>
            <w:tcW w:w="3686" w:type="dxa"/>
          </w:tcPr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terminów: „korytarz”,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polityka równowagi i „równych odległości”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układu polsko-francuskiego (II 1921),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układu polsko-rumuńskiego (III 1921), traktatu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polsko-ra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dzieckiego o nieagresji (1932),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polsko-niemieckiej deklaracji o niestosowaniu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przemocy (1934)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Józefa Piłsudskiego, Józefa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Becka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wymienia sojusze, jakie zawarła Polska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dwudziestoleciu międzywojennym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które z nich miały stanowić gwarancję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bezpieczeństwa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stosunek do państw sąsiednich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do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charakteryzuje stosunki polsko-</w:t>
            </w:r>
            <w:proofErr w:type="spellStart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radzieckiei</w:t>
            </w:r>
            <w:proofErr w:type="spellEnd"/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polsko-niemieckie w dwudziestoleciu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międzywojennym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wyjaśnia znaczenie terminów: Międzymorze, wojna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prewencyjna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układu w Rapallo (1922), układu w Locarno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(1925)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koncepcję Józefa Piłsudskiego dotyczącą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prowadzenia polityki zagranicznej i przykłady jej</w:t>
            </w:r>
          </w:p>
          <w:p w:rsidR="00721050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Realizacji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ideę Międzymorza i wyjaśnia przyczyny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jej niepowodzenia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zagrożenia, ja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kie stwarzały dla Polski układy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 Rapallo i Locarno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pozycję międzynarodową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 miały układy w Rapallo i Locarno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opisuje polską politykę zagraniczną w latach 30. XX w.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na pozycję międzynarodową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Polski miały polsko-radziecki traktat o nieagresji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i polsko-niemiecka deklaracja o niestosowaniu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przemocy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pozycję II Rzeczypospolitej na arenie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międzynarodowej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721050" w:rsidRPr="0041213C" w:rsidTr="004D41AE">
        <w:tc>
          <w:tcPr>
            <w:tcW w:w="85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lastRenderedPageBreak/>
              <w:t>10. Polska w przededniu II wojny światowej</w:t>
            </w:r>
          </w:p>
        </w:tc>
        <w:tc>
          <w:tcPr>
            <w:tcW w:w="1276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podręcznik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karta pracy ucznia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– mapa ścienna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− zeszyt ćwiczeń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1. Zajęcie Zaolzia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2. Niemieckie żądania wobec Polski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3. Sojusz z Wielką Brytanią i Francją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rPr>
                <w:rFonts w:asciiTheme="minorHAnsi" w:hAnsiTheme="minorHAnsi" w:cs="HelveticaNeueLTPro-Roman"/>
                <w:sz w:val="22"/>
                <w:szCs w:val="22"/>
              </w:rPr>
            </w:pPr>
            <w:r w:rsidRPr="0041213C">
              <w:rPr>
                <w:rFonts w:asciiTheme="minorHAnsi" w:hAnsiTheme="minorHAnsi" w:cs="HelveticaNeueLTPro-Roman"/>
                <w:sz w:val="22"/>
                <w:szCs w:val="22"/>
              </w:rPr>
              <w:t>4. Traktat Ribbentrop–Mołotow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XXIX.5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XXXI.4</w:t>
            </w:r>
          </w:p>
          <w:p w:rsidR="00721050" w:rsidRPr="0041213C" w:rsidRDefault="00721050" w:rsidP="004D41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XXXI.5</w:t>
            </w:r>
          </w:p>
        </w:tc>
        <w:tc>
          <w:tcPr>
            <w:tcW w:w="368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 znaczenie terminu: eksterytorialność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zna daty: zajęcia Zaolzia przez Polskę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 X 1938), przedstawienia po raz pierwszy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propozycji tzw. ostatecznego uregulowania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spraw spornych między Polską a Niemcami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(X 1938), polsko-brytyjskich gwarancji pomocy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 razie ataku Niemiec (IV 1939), wypowiedzenia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przez Niemcy deklarację o niestosowaniu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przemocy z Polską (IV 1939), paktu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Ribbentrop–Mołotow (23 VIII 1939), polsko-brytyjskiego sojuszu polityczno-wojskowego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(25 VIII 1939)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identyfikuje postacie: Joachima von Ribbentropa,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Wiaczesława Mołotowa, Józefa Becka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wskazuje na mapie Zaolzie, tzw. „korytarz”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oraz obszary, które na mocy paktu Ribbentrop–Mołotow miały przypaść III Rzeszy i 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ZSRS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żądania, jakie III Rzesza wysunęła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wobec Polski w 1938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omawia postawę władz II Rzeczypospolitej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wobec żądań niemieckich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wymienia postanowienia paktu Ribbentrop–Mołotow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jakie znaczenie dla Polski miało</w:t>
            </w:r>
          </w:p>
          <w:p w:rsidR="00721050" w:rsidRPr="0041213C" w:rsidRDefault="00721050" w:rsidP="004D41AE">
            <w:pPr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zawarcie paktu Ribbentrop–Mołotow</w:t>
            </w:r>
          </w:p>
        </w:tc>
        <w:tc>
          <w:tcPr>
            <w:tcW w:w="4536" w:type="dxa"/>
          </w:tcPr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lastRenderedPageBreak/>
              <w:t>− zna daty: przedstawienia po raz ostatni propozycji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tzw. ostatecznego uregulowania spraw spornych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między Polską a Niemcami (III 1939), przemówienia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sejmowego Józefa Becka (5 V 1939)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przyczyny konfliktu polsko-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-czechosłowackiego o Zaolzie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w jakich okolicznościach nastąpiło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włączenie Zaolzia do II Rzeczypospolitej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charakteryzuje relacje polsko-brytyjskie i polsko-francuskie w przededniu II wojny światowej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wyjaśnij, jakie cele przyświecały polityce zagranicznej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Wielkiej Brytanii i Francji wobec Polski w 1939 r.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wyjaśnia, jaki wpływ miały brytyjskie i francuskie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gwarancje dla Polski na politykę Adolfa Hitlera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przedstawia okoliczności zawarcia paktu Ribbentrop–Mołotow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rządu polskiego wobec problemu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Zaolzia</w:t>
            </w:r>
          </w:p>
          <w:p w:rsidR="00721050" w:rsidRPr="0041213C" w:rsidRDefault="00721050" w:rsidP="004D41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− ocenia postawę społeczeństwa polskiego wobec</w:t>
            </w:r>
            <w:r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 xml:space="preserve"> </w:t>
            </w:r>
            <w:r w:rsidRPr="0041213C">
              <w:rPr>
                <w:rFonts w:asciiTheme="minorHAnsi" w:eastAsiaTheme="minorHAnsi" w:hAnsiTheme="minorHAnsi" w:cs="Humanst521EU-Normal"/>
                <w:sz w:val="22"/>
                <w:szCs w:val="22"/>
                <w:lang w:eastAsia="en-US" w:bidi="ar-SA"/>
              </w:rPr>
              <w:t>żądań niemieckich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1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21050" w:rsidRPr="0041213C" w:rsidTr="004D41AE">
        <w:trPr>
          <w:trHeight w:val="509"/>
        </w:trPr>
        <w:tc>
          <w:tcPr>
            <w:tcW w:w="13467" w:type="dxa"/>
            <w:gridSpan w:val="6"/>
            <w:vAlign w:val="center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eastAsia="Calibri" w:hAnsiTheme="minorHAnsi" w:cs="HelveticaNeueLTPro-Bd"/>
                <w:b/>
                <w:sz w:val="22"/>
                <w:szCs w:val="22"/>
                <w:lang w:eastAsia="en-US" w:bidi="ar-SA"/>
              </w:rPr>
              <w:lastRenderedPageBreak/>
              <w:t>POWTÓRZENIE WIADOMOŚCI I SPRAWDZIAN Z ROZDZIAŁU VII</w:t>
            </w:r>
          </w:p>
        </w:tc>
        <w:tc>
          <w:tcPr>
            <w:tcW w:w="1417" w:type="dxa"/>
          </w:tcPr>
          <w:p w:rsidR="00721050" w:rsidRPr="0041213C" w:rsidRDefault="00721050" w:rsidP="004D41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213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</w:tbl>
    <w:p w:rsidR="00721050" w:rsidRPr="0041213C" w:rsidRDefault="00721050" w:rsidP="00721050">
      <w:pPr>
        <w:rPr>
          <w:rFonts w:asciiTheme="minorHAnsi" w:hAnsiTheme="minorHAnsi"/>
          <w:sz w:val="22"/>
          <w:szCs w:val="22"/>
        </w:rPr>
      </w:pPr>
    </w:p>
    <w:p w:rsidR="00721050" w:rsidRPr="00E064CE" w:rsidRDefault="00721050" w:rsidP="00721050"/>
    <w:p w:rsidR="00B4665E" w:rsidRDefault="00B4665E"/>
    <w:sectPr w:rsidR="00B4665E" w:rsidSect="00DB67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C02"/>
    <w:multiLevelType w:val="hybridMultilevel"/>
    <w:tmpl w:val="27D8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605"/>
    <w:multiLevelType w:val="hybridMultilevel"/>
    <w:tmpl w:val="3D0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9E"/>
    <w:multiLevelType w:val="hybridMultilevel"/>
    <w:tmpl w:val="574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429"/>
    <w:multiLevelType w:val="hybridMultilevel"/>
    <w:tmpl w:val="454E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3415"/>
    <w:multiLevelType w:val="hybridMultilevel"/>
    <w:tmpl w:val="7B06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647A"/>
    <w:multiLevelType w:val="hybridMultilevel"/>
    <w:tmpl w:val="C276E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2F37"/>
    <w:multiLevelType w:val="hybridMultilevel"/>
    <w:tmpl w:val="13DC3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7D10"/>
    <w:multiLevelType w:val="hybridMultilevel"/>
    <w:tmpl w:val="6106B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9BA"/>
    <w:multiLevelType w:val="hybridMultilevel"/>
    <w:tmpl w:val="052C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41817"/>
    <w:multiLevelType w:val="hybridMultilevel"/>
    <w:tmpl w:val="D3CC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949B9"/>
    <w:multiLevelType w:val="hybridMultilevel"/>
    <w:tmpl w:val="0FE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77FF"/>
    <w:multiLevelType w:val="hybridMultilevel"/>
    <w:tmpl w:val="6A0E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7001"/>
    <w:multiLevelType w:val="hybridMultilevel"/>
    <w:tmpl w:val="3CB4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5513B"/>
    <w:multiLevelType w:val="hybridMultilevel"/>
    <w:tmpl w:val="381C1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2800"/>
    <w:multiLevelType w:val="hybridMultilevel"/>
    <w:tmpl w:val="702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571E7"/>
    <w:multiLevelType w:val="hybridMultilevel"/>
    <w:tmpl w:val="FB60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790B"/>
    <w:multiLevelType w:val="hybridMultilevel"/>
    <w:tmpl w:val="B6B4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035FF"/>
    <w:multiLevelType w:val="hybridMultilevel"/>
    <w:tmpl w:val="7BC0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2C10"/>
    <w:multiLevelType w:val="hybridMultilevel"/>
    <w:tmpl w:val="19B6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7"/>
  </w:num>
  <w:num w:numId="5">
    <w:abstractNumId w:val="2"/>
  </w:num>
  <w:num w:numId="6">
    <w:abstractNumId w:val="15"/>
  </w:num>
  <w:num w:numId="7">
    <w:abstractNumId w:val="6"/>
  </w:num>
  <w:num w:numId="8">
    <w:abstractNumId w:val="9"/>
  </w:num>
  <w:num w:numId="9">
    <w:abstractNumId w:val="1"/>
  </w:num>
  <w:num w:numId="10">
    <w:abstractNumId w:val="18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3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7D"/>
    <w:rsid w:val="004C2FB5"/>
    <w:rsid w:val="00721050"/>
    <w:rsid w:val="00B4665E"/>
    <w:rsid w:val="00B8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AFA8"/>
  <w15:chartTrackingRefBased/>
  <w15:docId w15:val="{9A5E4184-6354-4435-BD14-D87AF8BE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050"/>
    <w:pPr>
      <w:widowControl w:val="0"/>
      <w:suppressAutoHyphens/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050"/>
    <w:pPr>
      <w:ind w:left="720"/>
      <w:contextualSpacing/>
    </w:pPr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11724</Words>
  <Characters>70346</Characters>
  <Application>Microsoft Office Word</Application>
  <DocSecurity>0</DocSecurity>
  <Lines>586</Lines>
  <Paragraphs>163</Paragraphs>
  <ScaleCrop>false</ScaleCrop>
  <Company/>
  <LinksUpToDate>false</LinksUpToDate>
  <CharactersWithSpaces>81907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2025-09-14T15:42:00Z</dcterms:created>
  <dcterms:modified xsi:type="dcterms:W3CDTF">2025-09-15T18:22:00Z</dcterms:modified>
</cp:coreProperties>
</file>